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54B3" w14:textId="77777777" w:rsidR="00FF2923" w:rsidRPr="00C76262" w:rsidRDefault="00000000">
      <w:pPr>
        <w:adjustRightInd w:val="0"/>
        <w:snapToGrid w:val="0"/>
        <w:spacing w:before="240" w:after="120" w:line="288" w:lineRule="auto"/>
        <w:rPr>
          <w:rFonts w:ascii="Times New Roman" w:hAnsi="Times New Roman" w:cs="Times New Roman"/>
          <w:lang w:val="en-US"/>
        </w:rPr>
      </w:pPr>
      <w:r w:rsidRPr="00C76262">
        <w:rPr>
          <w:rFonts w:ascii="Times New Roman" w:hAnsi="Times New Roman" w:cs="Times New Roman"/>
          <w:lang w:val="en-US"/>
        </w:rPr>
        <w:t>Article</w:t>
      </w:r>
    </w:p>
    <w:p w14:paraId="4C050E8C" w14:textId="77777777" w:rsidR="00FF2923" w:rsidRPr="00C76262" w:rsidRDefault="00000000">
      <w:pPr>
        <w:adjustRightInd w:val="0"/>
        <w:snapToGrid w:val="0"/>
        <w:spacing w:after="240" w:line="288" w:lineRule="auto"/>
        <w:rPr>
          <w:rFonts w:ascii="Times New Roman" w:eastAsia="宋体" w:hAnsi="Times New Roman" w:cs="Times New Roman"/>
          <w:b/>
          <w:sz w:val="32"/>
          <w:szCs w:val="32"/>
          <w:lang w:val="en-US" w:eastAsia="zh-CN"/>
        </w:rPr>
      </w:pPr>
      <w:r w:rsidRPr="00C76262">
        <w:rPr>
          <w:rFonts w:ascii="Times New Roman" w:eastAsia="宋体" w:hAnsi="Times New Roman" w:cs="Times New Roman"/>
          <w:b/>
          <w:sz w:val="32"/>
          <w:szCs w:val="32"/>
          <w:lang w:val="en-US" w:eastAsia="zh-CN"/>
        </w:rPr>
        <w:t>Lung cancer severity detection with pulmonary pathology using optimized deep learning framework</w:t>
      </w:r>
    </w:p>
    <w:p w14:paraId="790C018D" w14:textId="5C1D070B" w:rsidR="00FF2923" w:rsidRPr="00C76262" w:rsidRDefault="00000000">
      <w:pPr>
        <w:adjustRightInd w:val="0"/>
        <w:snapToGrid w:val="0"/>
        <w:spacing w:after="240" w:line="288" w:lineRule="auto"/>
        <w:rPr>
          <w:rFonts w:ascii="Times New Roman" w:eastAsia="宋体" w:hAnsi="Times New Roman" w:cs="Times New Roman"/>
          <w:b/>
          <w:bCs/>
          <w:lang w:val="ru-RU"/>
        </w:rPr>
      </w:pPr>
      <w:bookmarkStart w:id="0" w:name="OLE_LINK5"/>
      <w:bookmarkStart w:id="1" w:name="OLE_LINK6"/>
      <w:r w:rsidRPr="00C76262">
        <w:rPr>
          <w:rFonts w:ascii="Times New Roman" w:eastAsia="宋体" w:hAnsi="Times New Roman" w:cs="Times New Roman"/>
          <w:b/>
          <w:bCs/>
          <w:lang w:val="ru-RU"/>
        </w:rPr>
        <w:t xml:space="preserve">Albert Punitha </w:t>
      </w:r>
      <w:bookmarkStart w:id="2" w:name="OLE_LINK1"/>
      <w:r w:rsidRPr="00C76262">
        <w:rPr>
          <w:rFonts w:ascii="Times New Roman" w:eastAsia="宋体" w:hAnsi="Times New Roman" w:cs="Times New Roman"/>
          <w:b/>
          <w:bCs/>
          <w:lang w:val="ru-RU"/>
        </w:rPr>
        <w:t>Jilt</w:t>
      </w:r>
      <w:bookmarkEnd w:id="0"/>
      <w:bookmarkEnd w:id="2"/>
      <w:r w:rsidRPr="00C76262">
        <w:rPr>
          <w:rFonts w:ascii="Times New Roman" w:eastAsia="宋体" w:hAnsi="Times New Roman" w:cs="Times New Roman"/>
          <w:b/>
          <w:bCs/>
          <w:vertAlign w:val="superscript"/>
          <w:lang w:val="ru-RU"/>
        </w:rPr>
        <w:t>1,*</w:t>
      </w:r>
      <w:r w:rsidRPr="00C76262">
        <w:rPr>
          <w:rFonts w:ascii="Times New Roman" w:eastAsia="宋体" w:hAnsi="Times New Roman" w:cs="Times New Roman"/>
          <w:b/>
          <w:bCs/>
        </w:rPr>
        <w:t xml:space="preserve">, </w:t>
      </w:r>
      <w:bookmarkStart w:id="3" w:name="OLE_LINK8"/>
      <w:r w:rsidRPr="00C76262">
        <w:rPr>
          <w:rFonts w:ascii="Times New Roman" w:eastAsia="宋体" w:hAnsi="Times New Roman" w:cs="Times New Roman"/>
          <w:b/>
          <w:bCs/>
          <w:lang w:val="ru-RU"/>
        </w:rPr>
        <w:t>Govindasamy Kavitha</w:t>
      </w:r>
      <w:bookmarkEnd w:id="3"/>
      <w:r w:rsidRPr="00C76262">
        <w:rPr>
          <w:rFonts w:ascii="Times New Roman" w:eastAsia="宋体" w:hAnsi="Times New Roman" w:cs="Times New Roman"/>
          <w:b/>
          <w:bCs/>
          <w:vertAlign w:val="superscript"/>
          <w:lang w:val="ru-RU"/>
        </w:rPr>
        <w:t>2</w:t>
      </w:r>
    </w:p>
    <w:bookmarkEnd w:id="1"/>
    <w:p w14:paraId="5CA47642" w14:textId="1822B2A8" w:rsidR="00FF2923" w:rsidRPr="00C76262" w:rsidRDefault="00000000">
      <w:pPr>
        <w:widowControl w:val="0"/>
        <w:adjustRightInd w:val="0"/>
        <w:snapToGrid w:val="0"/>
        <w:spacing w:after="0" w:line="288" w:lineRule="auto"/>
        <w:ind w:left="90" w:hangingChars="50" w:hanging="90"/>
        <w:rPr>
          <w:rFonts w:ascii="Times New Roman" w:eastAsia="宋体" w:hAnsi="Times New Roman" w:cs="Times New Roman"/>
          <w:sz w:val="18"/>
          <w:szCs w:val="18"/>
          <w:lang w:val="en-US"/>
        </w:rPr>
      </w:pPr>
      <w:r w:rsidRPr="00C76262">
        <w:rPr>
          <w:rFonts w:ascii="Times New Roman" w:eastAsia="宋体" w:hAnsi="Times New Roman" w:cs="Times New Roman"/>
          <w:sz w:val="18"/>
          <w:szCs w:val="18"/>
          <w:vertAlign w:val="superscript"/>
          <w:lang w:val="en-US"/>
        </w:rPr>
        <w:t>1</w:t>
      </w:r>
      <w:r w:rsidRPr="00C76262">
        <w:rPr>
          <w:rFonts w:ascii="Times New Roman" w:eastAsia="宋体" w:hAnsi="Times New Roman" w:cs="Times New Roman"/>
          <w:sz w:val="18"/>
          <w:szCs w:val="18"/>
          <w:vertAlign w:val="superscript"/>
          <w:lang w:val="en-US" w:eastAsia="zh-CN"/>
        </w:rPr>
        <w:t xml:space="preserve"> </w:t>
      </w:r>
      <w:r w:rsidRPr="00C76262">
        <w:rPr>
          <w:rFonts w:ascii="Times New Roman" w:eastAsia="宋体" w:hAnsi="Times New Roman" w:cs="Times New Roman"/>
          <w:sz w:val="18"/>
          <w:szCs w:val="18"/>
          <w:lang w:val="en-US"/>
        </w:rPr>
        <w:t xml:space="preserve">Department of Computer Science and Engineering, St. Anne’s College of Engineering and Technology, </w:t>
      </w:r>
      <w:proofErr w:type="spellStart"/>
      <w:r w:rsidRPr="00C76262">
        <w:rPr>
          <w:rFonts w:ascii="Times New Roman" w:eastAsia="宋体" w:hAnsi="Times New Roman" w:cs="Times New Roman"/>
          <w:sz w:val="18"/>
          <w:szCs w:val="18"/>
          <w:lang w:val="en-US"/>
        </w:rPr>
        <w:t>Anguchettyplayam</w:t>
      </w:r>
      <w:proofErr w:type="spellEnd"/>
      <w:r w:rsidRPr="00C76262">
        <w:rPr>
          <w:rFonts w:ascii="Times New Roman" w:eastAsia="宋体" w:hAnsi="Times New Roman" w:cs="Times New Roman"/>
          <w:sz w:val="18"/>
          <w:szCs w:val="18"/>
          <w:lang w:val="en-US"/>
        </w:rPr>
        <w:t xml:space="preserve">, </w:t>
      </w:r>
      <w:proofErr w:type="spellStart"/>
      <w:r w:rsidRPr="00C76262">
        <w:rPr>
          <w:rFonts w:ascii="Times New Roman" w:eastAsia="宋体" w:hAnsi="Times New Roman" w:cs="Times New Roman"/>
          <w:sz w:val="18"/>
          <w:szCs w:val="18"/>
          <w:lang w:val="en-US"/>
        </w:rPr>
        <w:t>Panruti</w:t>
      </w:r>
      <w:proofErr w:type="spellEnd"/>
      <w:r w:rsidRPr="00C76262">
        <w:rPr>
          <w:rFonts w:ascii="Times New Roman" w:eastAsia="宋体" w:hAnsi="Times New Roman" w:cs="Times New Roman"/>
          <w:sz w:val="18"/>
          <w:szCs w:val="18"/>
          <w:lang w:val="en-US"/>
        </w:rPr>
        <w:t xml:space="preserve">, </w:t>
      </w:r>
      <w:proofErr w:type="spellStart"/>
      <w:r w:rsidRPr="00C76262">
        <w:rPr>
          <w:rFonts w:ascii="Times New Roman" w:eastAsia="宋体" w:hAnsi="Times New Roman" w:cs="Times New Roman"/>
          <w:sz w:val="18"/>
          <w:szCs w:val="18"/>
          <w:lang w:val="en-US"/>
        </w:rPr>
        <w:t>Tamilnadu</w:t>
      </w:r>
      <w:proofErr w:type="spellEnd"/>
      <w:r w:rsidR="001D0E44">
        <w:rPr>
          <w:rFonts w:ascii="Times New Roman" w:eastAsia="宋体" w:hAnsi="Times New Roman" w:cs="Times New Roman" w:hint="eastAsia"/>
          <w:sz w:val="18"/>
          <w:szCs w:val="18"/>
          <w:lang w:val="en-US" w:eastAsia="zh-CN"/>
        </w:rPr>
        <w:t xml:space="preserve"> </w:t>
      </w:r>
      <w:r w:rsidR="001D0E44" w:rsidRPr="00C76262">
        <w:rPr>
          <w:rFonts w:ascii="Times New Roman" w:eastAsia="宋体" w:hAnsi="Times New Roman" w:cs="Times New Roman"/>
          <w:sz w:val="18"/>
          <w:szCs w:val="18"/>
          <w:lang w:val="en-US" w:eastAsia="zh-CN"/>
        </w:rPr>
        <w:t>607106</w:t>
      </w:r>
      <w:r w:rsidRPr="00C76262">
        <w:rPr>
          <w:rFonts w:ascii="Times New Roman" w:eastAsia="宋体" w:hAnsi="Times New Roman" w:cs="Times New Roman"/>
          <w:sz w:val="18"/>
          <w:szCs w:val="18"/>
          <w:lang w:val="en-US"/>
        </w:rPr>
        <w:t>, India</w:t>
      </w:r>
    </w:p>
    <w:p w14:paraId="2C599B84" w14:textId="4DD22807" w:rsidR="00FF2923" w:rsidRPr="00C76262" w:rsidRDefault="00000000">
      <w:pPr>
        <w:widowControl w:val="0"/>
        <w:adjustRightInd w:val="0"/>
        <w:snapToGrid w:val="0"/>
        <w:spacing w:after="0" w:line="288" w:lineRule="auto"/>
        <w:ind w:left="90" w:hangingChars="50" w:hanging="90"/>
        <w:rPr>
          <w:rFonts w:ascii="Times New Roman" w:eastAsia="宋体" w:hAnsi="Times New Roman" w:cs="Times New Roman"/>
          <w:sz w:val="18"/>
          <w:szCs w:val="18"/>
          <w:lang w:val="en-US"/>
        </w:rPr>
      </w:pPr>
      <w:r w:rsidRPr="00C76262">
        <w:rPr>
          <w:rFonts w:ascii="Times New Roman" w:eastAsia="宋体" w:hAnsi="Times New Roman" w:cs="Times New Roman"/>
          <w:sz w:val="18"/>
          <w:szCs w:val="18"/>
          <w:vertAlign w:val="superscript"/>
          <w:lang w:val="en-US"/>
        </w:rPr>
        <w:t>2</w:t>
      </w:r>
      <w:r w:rsidRPr="00C76262">
        <w:rPr>
          <w:rFonts w:ascii="Times New Roman" w:eastAsia="宋体" w:hAnsi="Times New Roman" w:cs="Times New Roman"/>
          <w:sz w:val="18"/>
          <w:szCs w:val="18"/>
          <w:vertAlign w:val="superscript"/>
          <w:lang w:val="en-US" w:eastAsia="zh-CN"/>
        </w:rPr>
        <w:t xml:space="preserve"> </w:t>
      </w:r>
      <w:bookmarkStart w:id="4" w:name="OLE_LINK10"/>
      <w:r w:rsidRPr="00C76262">
        <w:rPr>
          <w:rFonts w:ascii="Times New Roman" w:eastAsia="宋体" w:hAnsi="Times New Roman" w:cs="Times New Roman"/>
          <w:sz w:val="18"/>
          <w:szCs w:val="18"/>
          <w:lang w:val="en-US"/>
        </w:rPr>
        <w:t xml:space="preserve">Department of Computer Science and Engineering, </w:t>
      </w:r>
      <w:proofErr w:type="spellStart"/>
      <w:r w:rsidRPr="00C76262">
        <w:rPr>
          <w:rFonts w:ascii="Times New Roman" w:eastAsia="宋体" w:hAnsi="Times New Roman" w:cs="Times New Roman"/>
          <w:sz w:val="18"/>
          <w:szCs w:val="18"/>
          <w:lang w:val="en-US"/>
        </w:rPr>
        <w:t>Muthayammal</w:t>
      </w:r>
      <w:proofErr w:type="spellEnd"/>
      <w:r w:rsidRPr="00C76262">
        <w:rPr>
          <w:rFonts w:ascii="Times New Roman" w:eastAsia="宋体" w:hAnsi="Times New Roman" w:cs="Times New Roman"/>
          <w:sz w:val="18"/>
          <w:szCs w:val="18"/>
          <w:lang w:val="en-US"/>
        </w:rPr>
        <w:t xml:space="preserve"> Engineering College (Autonomous), Rasipuram, Namakkal, </w:t>
      </w:r>
      <w:proofErr w:type="spellStart"/>
      <w:r w:rsidRPr="00C76262">
        <w:rPr>
          <w:rFonts w:ascii="Times New Roman" w:eastAsia="宋体" w:hAnsi="Times New Roman" w:cs="Times New Roman"/>
          <w:sz w:val="18"/>
          <w:szCs w:val="18"/>
          <w:lang w:val="en-US"/>
        </w:rPr>
        <w:t>Tamilnadu</w:t>
      </w:r>
      <w:proofErr w:type="spellEnd"/>
      <w:r w:rsidR="001D0E44">
        <w:rPr>
          <w:rFonts w:ascii="Times New Roman" w:eastAsia="宋体" w:hAnsi="Times New Roman" w:cs="Times New Roman" w:hint="eastAsia"/>
          <w:sz w:val="18"/>
          <w:szCs w:val="18"/>
          <w:lang w:val="en-US" w:eastAsia="zh-CN"/>
        </w:rPr>
        <w:t xml:space="preserve"> </w:t>
      </w:r>
      <w:r w:rsidR="001D0E44" w:rsidRPr="00C76262">
        <w:rPr>
          <w:rFonts w:ascii="Times New Roman" w:eastAsia="宋体" w:hAnsi="Times New Roman" w:cs="Times New Roman"/>
          <w:sz w:val="18"/>
          <w:szCs w:val="18"/>
          <w:lang w:val="en-US" w:eastAsia="zh-CN"/>
        </w:rPr>
        <w:t>637408</w:t>
      </w:r>
      <w:r w:rsidRPr="00C76262">
        <w:rPr>
          <w:rFonts w:ascii="Times New Roman" w:eastAsia="宋体" w:hAnsi="Times New Roman" w:cs="Times New Roman"/>
          <w:sz w:val="18"/>
          <w:szCs w:val="18"/>
          <w:lang w:val="en-US"/>
        </w:rPr>
        <w:t>, India</w:t>
      </w:r>
    </w:p>
    <w:bookmarkEnd w:id="4"/>
    <w:p w14:paraId="04AFF31E" w14:textId="6F9F3A80" w:rsidR="00FF2923" w:rsidRPr="00C76262" w:rsidRDefault="00000000">
      <w:pPr>
        <w:widowControl w:val="0"/>
        <w:pBdr>
          <w:bottom w:val="single" w:sz="4" w:space="1" w:color="auto"/>
        </w:pBdr>
        <w:adjustRightInd w:val="0"/>
        <w:snapToGrid w:val="0"/>
        <w:spacing w:after="360" w:line="288" w:lineRule="auto"/>
        <w:rPr>
          <w:rFonts w:ascii="Times New Roman" w:hAnsi="Times New Roman" w:cs="Times New Roman"/>
          <w:i/>
          <w:sz w:val="18"/>
          <w:szCs w:val="18"/>
          <w:lang w:val="az-Latn-AZ"/>
        </w:rPr>
      </w:pPr>
      <w:r w:rsidRPr="00C76262">
        <w:rPr>
          <w:rFonts w:ascii="Times New Roman" w:hAnsi="Times New Roman" w:cs="Times New Roman"/>
          <w:b/>
          <w:bCs/>
          <w:iCs/>
          <w:sz w:val="18"/>
          <w:szCs w:val="18"/>
          <w:lang w:val="en-US"/>
        </w:rPr>
        <w:t>*</w:t>
      </w:r>
      <w:r w:rsidRPr="00C76262">
        <w:rPr>
          <w:rFonts w:ascii="Times New Roman" w:hAnsi="Times New Roman" w:cs="Times New Roman"/>
          <w:i/>
          <w:sz w:val="18"/>
          <w:szCs w:val="18"/>
          <w:vertAlign w:val="superscript"/>
          <w:lang w:val="en-US"/>
        </w:rPr>
        <w:t xml:space="preserve"> </w:t>
      </w:r>
      <w:r w:rsidRPr="00C76262">
        <w:rPr>
          <w:rFonts w:ascii="Times New Roman" w:hAnsi="Times New Roman" w:cs="Times New Roman"/>
          <w:b/>
          <w:bCs/>
          <w:iCs/>
          <w:sz w:val="18"/>
          <w:szCs w:val="18"/>
          <w:lang w:val="en-US"/>
        </w:rPr>
        <w:t xml:space="preserve">Corresponding author: </w:t>
      </w:r>
      <w:r w:rsidR="00904D14" w:rsidRPr="00904D14">
        <w:rPr>
          <w:rFonts w:ascii="Times New Roman" w:hAnsi="Times New Roman" w:cs="Times New Roman"/>
          <w:bCs/>
          <w:sz w:val="18"/>
          <w:szCs w:val="18"/>
          <w:lang w:val="en-US"/>
        </w:rPr>
        <w:t>Albert Punitha Jilt</w:t>
      </w:r>
      <w:r w:rsidRPr="00C76262">
        <w:rPr>
          <w:rFonts w:ascii="Times New Roman" w:hAnsi="Times New Roman" w:cs="Times New Roman"/>
          <w:bCs/>
          <w:sz w:val="18"/>
          <w:szCs w:val="18"/>
          <w:lang w:val="en-US" w:eastAsia="zh-CN"/>
        </w:rPr>
        <w:t>,</w:t>
      </w:r>
      <w:r w:rsidRPr="00C76262">
        <w:rPr>
          <w:rFonts w:ascii="Times New Roman" w:hAnsi="Times New Roman" w:cs="Times New Roman"/>
          <w:iCs/>
          <w:sz w:val="18"/>
          <w:szCs w:val="18"/>
          <w:lang w:val="en-US"/>
        </w:rPr>
        <w:t xml:space="preserve"> srjiltsat@stannescet.ac.in</w:t>
      </w:r>
    </w:p>
    <w:p w14:paraId="6D0E8968" w14:textId="77777777" w:rsidR="00FF2923" w:rsidRPr="00C76262" w:rsidRDefault="00000000">
      <w:pPr>
        <w:widowControl w:val="0"/>
        <w:autoSpaceDE w:val="0"/>
        <w:autoSpaceDN w:val="0"/>
        <w:adjustRightInd w:val="0"/>
        <w:snapToGrid w:val="0"/>
        <w:spacing w:before="240" w:after="120" w:line="288" w:lineRule="auto"/>
        <w:ind w:left="2948"/>
        <w:jc w:val="both"/>
        <w:rPr>
          <w:rFonts w:ascii="Times New Roman" w:hAnsi="Times New Roman" w:cs="Times New Roman"/>
          <w:sz w:val="20"/>
          <w:lang w:val="en-US"/>
        </w:rPr>
      </w:pPr>
      <w:r w:rsidRPr="00C76262">
        <w:rPr>
          <w:rFonts w:ascii="Times New Roman" w:hAnsi="Times New Roman" w:cs="Times New Roman"/>
          <w:iCs/>
          <w:noProof/>
          <w:sz w:val="20"/>
          <w:szCs w:val="20"/>
          <w:lang w:eastAsia="en-IN"/>
        </w:rPr>
        <mc:AlternateContent>
          <mc:Choice Requires="wps">
            <w:drawing>
              <wp:anchor distT="45720" distB="45720" distL="114300" distR="114300" simplePos="0" relativeHeight="251659264" behindDoc="0" locked="0" layoutInCell="1" allowOverlap="1" wp14:anchorId="321B35E9" wp14:editId="58F003FC">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095C7DA2" w14:textId="77777777" w:rsidR="00FF2923" w:rsidRPr="00413DFD" w:rsidRDefault="00000000">
                            <w:pPr>
                              <w:pBdr>
                                <w:bottom w:val="single" w:sz="4" w:space="1" w:color="auto"/>
                              </w:pBdr>
                              <w:adjustRightInd w:val="0"/>
                              <w:snapToGrid w:val="0"/>
                              <w:spacing w:after="120" w:line="240" w:lineRule="auto"/>
                              <w:rPr>
                                <w:rFonts w:ascii="Times New Roman" w:eastAsia="Calibri" w:hAnsi="Times New Roman"/>
                                <w:b/>
                                <w:sz w:val="16"/>
                                <w:szCs w:val="16"/>
                              </w:rPr>
                            </w:pPr>
                            <w:r w:rsidRPr="00413DFD">
                              <w:rPr>
                                <w:rFonts w:ascii="Times New Roman" w:eastAsia="Calibri" w:hAnsi="Times New Roman"/>
                                <w:b/>
                                <w:sz w:val="16"/>
                                <w:szCs w:val="16"/>
                              </w:rPr>
                              <w:t>CITATION</w:t>
                            </w:r>
                          </w:p>
                          <w:p w14:paraId="3C4C6B6C" w14:textId="77777777" w:rsidR="00FF2923" w:rsidRPr="00413DFD" w:rsidRDefault="00000000">
                            <w:pPr>
                              <w:adjustRightInd w:val="0"/>
                              <w:snapToGrid w:val="0"/>
                              <w:spacing w:after="0" w:line="288" w:lineRule="auto"/>
                              <w:rPr>
                                <w:rFonts w:ascii="Times New Roman" w:eastAsiaTheme="minorEastAsia" w:hAnsi="Times New Roman"/>
                                <w:sz w:val="16"/>
                                <w:szCs w:val="16"/>
                                <w:lang w:val="en-US" w:eastAsia="zh-CN"/>
                              </w:rPr>
                            </w:pPr>
                            <w:r w:rsidRPr="00413DFD">
                              <w:rPr>
                                <w:rFonts w:ascii="Times New Roman" w:eastAsiaTheme="minorEastAsia" w:hAnsi="Times New Roman" w:hint="eastAsia"/>
                                <w:sz w:val="16"/>
                                <w:szCs w:val="16"/>
                                <w:lang w:val="en-US" w:eastAsia="zh-CN"/>
                              </w:rPr>
                              <w:t xml:space="preserve">Punitha Jilt </w:t>
                            </w:r>
                            <w:r w:rsidRPr="00413DFD">
                              <w:rPr>
                                <w:rFonts w:ascii="Times New Roman" w:hAnsi="Times New Roman"/>
                                <w:sz w:val="16"/>
                                <w:szCs w:val="16"/>
                                <w:lang w:val="en-US" w:eastAsia="zh-CN"/>
                              </w:rPr>
                              <w:t>A</w:t>
                            </w:r>
                            <w:r w:rsidRPr="00413DFD">
                              <w:rPr>
                                <w:rFonts w:ascii="Times New Roman" w:eastAsiaTheme="minorEastAsia" w:hAnsi="Times New Roman" w:hint="eastAsia"/>
                                <w:sz w:val="16"/>
                                <w:szCs w:val="16"/>
                                <w:lang w:val="en-US" w:eastAsia="zh-CN"/>
                              </w:rPr>
                              <w:t xml:space="preserve">, </w:t>
                            </w:r>
                            <w:r w:rsidRPr="00413DFD">
                              <w:rPr>
                                <w:rFonts w:ascii="Times New Roman" w:eastAsiaTheme="minorEastAsia" w:hAnsi="Times New Roman"/>
                                <w:sz w:val="16"/>
                                <w:szCs w:val="16"/>
                                <w:lang w:val="en-US" w:eastAsia="zh-CN"/>
                              </w:rPr>
                              <w:t>K</w:t>
                            </w:r>
                            <w:r w:rsidRPr="00413DFD">
                              <w:rPr>
                                <w:rFonts w:ascii="Times New Roman" w:hAnsi="Times New Roman"/>
                                <w:sz w:val="16"/>
                                <w:szCs w:val="16"/>
                                <w:lang w:val="en-US" w:eastAsia="zh-CN"/>
                              </w:rPr>
                              <w:t>av</w:t>
                            </w:r>
                            <w:r w:rsidRPr="00413DFD">
                              <w:rPr>
                                <w:rFonts w:ascii="Times New Roman" w:eastAsiaTheme="minorEastAsia" w:hAnsi="Times New Roman"/>
                                <w:sz w:val="16"/>
                                <w:szCs w:val="16"/>
                                <w:lang w:val="en-US" w:eastAsia="zh-CN"/>
                              </w:rPr>
                              <w:t>itha</w:t>
                            </w:r>
                            <w:r w:rsidRPr="00413DFD">
                              <w:rPr>
                                <w:rFonts w:ascii="Times New Roman" w:eastAsiaTheme="minorEastAsia" w:hAnsi="Times New Roman" w:hint="eastAsia"/>
                                <w:sz w:val="16"/>
                                <w:szCs w:val="16"/>
                                <w:lang w:val="en-US" w:eastAsia="zh-CN"/>
                              </w:rPr>
                              <w:t xml:space="preserve"> G</w:t>
                            </w:r>
                            <w:r w:rsidRPr="00413DFD">
                              <w:rPr>
                                <w:rFonts w:ascii="Times New Roman" w:hAnsi="Times New Roman"/>
                                <w:sz w:val="16"/>
                                <w:szCs w:val="16"/>
                                <w:lang w:val="en-US"/>
                              </w:rPr>
                              <w:t xml:space="preserve">. Lung cancer severity detection with pulmonary pathology using optimized deep learning framework. </w:t>
                            </w:r>
                            <w:r w:rsidRPr="00413DFD">
                              <w:rPr>
                                <w:rFonts w:ascii="Times New Roman" w:hAnsi="Times New Roman"/>
                                <w:bCs/>
                                <w:iCs/>
                                <w:sz w:val="16"/>
                                <w:szCs w:val="16"/>
                                <w:lang w:val="en-GB"/>
                              </w:rPr>
                              <w:t>Journal of Biological Regulators and Homeostatic Agents.</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2026</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40</w:t>
                            </w:r>
                            <w:r w:rsidRPr="00413DFD">
                              <w:rPr>
                                <w:rFonts w:ascii="Times New Roman" w:hAnsi="Times New Roman"/>
                                <w:sz w:val="16"/>
                                <w:szCs w:val="16"/>
                                <w:lang w:val="en-US"/>
                              </w:rPr>
                              <w:t>(</w:t>
                            </w:r>
                            <w:r w:rsidRPr="00413DFD">
                              <w:rPr>
                                <w:rFonts w:ascii="Times New Roman" w:eastAsiaTheme="minorEastAsia" w:hAnsi="Times New Roman" w:hint="eastAsia"/>
                                <w:sz w:val="16"/>
                                <w:szCs w:val="16"/>
                                <w:lang w:val="en-US" w:eastAsia="zh-CN"/>
                              </w:rPr>
                              <w:t>3</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122</w:t>
                            </w:r>
                            <w:r w:rsidRPr="00413DFD">
                              <w:rPr>
                                <w:rFonts w:ascii="Times New Roman" w:hAnsi="Times New Roman"/>
                                <w:sz w:val="16"/>
                                <w:szCs w:val="16"/>
                                <w:lang w:val="en-US"/>
                              </w:rPr>
                              <w:t>. https://doi.org/10.</w:t>
                            </w:r>
                            <w:r w:rsidRPr="00413DFD">
                              <w:rPr>
                                <w:rFonts w:ascii="Times New Roman" w:eastAsiaTheme="minorEastAsia" w:hAnsi="Times New Roman" w:hint="eastAsia"/>
                                <w:sz w:val="16"/>
                                <w:szCs w:val="16"/>
                                <w:lang w:val="en-US" w:eastAsia="zh-CN"/>
                              </w:rPr>
                              <w:t>65746</w:t>
                            </w:r>
                            <w:r w:rsidRPr="00413DFD">
                              <w:rPr>
                                <w:rFonts w:ascii="Times New Roman" w:hAnsi="Times New Roman"/>
                                <w:sz w:val="16"/>
                                <w:szCs w:val="16"/>
                                <w:lang w:val="en-US"/>
                              </w:rPr>
                              <w:t>/</w:t>
                            </w:r>
                            <w:r w:rsidRPr="00413DFD">
                              <w:rPr>
                                <w:rFonts w:ascii="Times New Roman" w:eastAsiaTheme="minorEastAsia" w:hAnsi="Times New Roman" w:hint="eastAsia"/>
                                <w:sz w:val="16"/>
                                <w:szCs w:val="16"/>
                                <w:lang w:val="en-US" w:eastAsia="zh-CN"/>
                              </w:rPr>
                              <w:t>jbrha122</w:t>
                            </w:r>
                          </w:p>
                          <w:p w14:paraId="5AC1D138" w14:textId="77777777" w:rsidR="00FF2923" w:rsidRPr="00413DFD" w:rsidRDefault="00000000">
                            <w:pPr>
                              <w:pBdr>
                                <w:bottom w:val="single" w:sz="4" w:space="1" w:color="auto"/>
                              </w:pBdr>
                              <w:adjustRightInd w:val="0"/>
                              <w:snapToGrid w:val="0"/>
                              <w:spacing w:before="240" w:after="120" w:line="240" w:lineRule="auto"/>
                              <w:rPr>
                                <w:rFonts w:ascii="Times New Roman" w:eastAsia="Calibri" w:hAnsi="Times New Roman"/>
                                <w:b/>
                                <w:sz w:val="16"/>
                                <w:szCs w:val="16"/>
                              </w:rPr>
                            </w:pPr>
                            <w:r w:rsidRPr="00413DFD">
                              <w:rPr>
                                <w:rFonts w:ascii="Times New Roman" w:eastAsia="Calibri" w:hAnsi="Times New Roman"/>
                                <w:b/>
                                <w:sz w:val="16"/>
                                <w:szCs w:val="16"/>
                              </w:rPr>
                              <w:t>ARTICLE INFO</w:t>
                            </w:r>
                          </w:p>
                          <w:p w14:paraId="58843A04" w14:textId="77777777" w:rsidR="00FF2923" w:rsidRPr="00413DFD" w:rsidRDefault="00000000">
                            <w:pPr>
                              <w:adjustRightInd w:val="0"/>
                              <w:snapToGrid w:val="0"/>
                              <w:spacing w:after="0" w:line="288" w:lineRule="auto"/>
                              <w:rPr>
                                <w:rFonts w:ascii="Times New Roman" w:eastAsia="宋体" w:hAnsi="Times New Roman"/>
                                <w:sz w:val="16"/>
                                <w:szCs w:val="16"/>
                                <w:lang w:val="en-US" w:eastAsia="zh-CN"/>
                              </w:rPr>
                            </w:pPr>
                            <w:r w:rsidRPr="00413DFD">
                              <w:rPr>
                                <w:rFonts w:ascii="Times New Roman" w:hAnsi="Times New Roman"/>
                                <w:sz w:val="16"/>
                                <w:szCs w:val="16"/>
                                <w:lang w:val="en-US"/>
                              </w:rPr>
                              <w:t xml:space="preserve">Received: </w:t>
                            </w:r>
                            <w:r w:rsidRPr="00413DFD">
                              <w:rPr>
                                <w:rFonts w:ascii="Times New Roman" w:eastAsia="宋体" w:hAnsi="Times New Roman" w:hint="eastAsia"/>
                                <w:sz w:val="16"/>
                                <w:szCs w:val="16"/>
                                <w:lang w:val="en-US" w:eastAsia="zh-CN"/>
                              </w:rPr>
                              <w:t>7 May 2026</w:t>
                            </w:r>
                          </w:p>
                          <w:p w14:paraId="63B2A223" w14:textId="77777777" w:rsidR="00FF2923" w:rsidRPr="00413DFD" w:rsidRDefault="00000000">
                            <w:pPr>
                              <w:adjustRightInd w:val="0"/>
                              <w:snapToGrid w:val="0"/>
                              <w:spacing w:after="0" w:line="288" w:lineRule="auto"/>
                              <w:rPr>
                                <w:rFonts w:ascii="Times New Roman" w:hAnsi="Times New Roman"/>
                                <w:sz w:val="16"/>
                                <w:szCs w:val="16"/>
                                <w:lang w:val="en-US" w:eastAsia="zh-CN"/>
                              </w:rPr>
                            </w:pPr>
                            <w:r w:rsidRPr="00413DFD">
                              <w:rPr>
                                <w:rFonts w:ascii="Times New Roman" w:hAnsi="Times New Roman"/>
                                <w:sz w:val="16"/>
                                <w:szCs w:val="16"/>
                                <w:lang w:val="en-US" w:eastAsia="zh-CN"/>
                              </w:rPr>
                              <w:t xml:space="preserve">Revised: </w:t>
                            </w:r>
                            <w:r w:rsidRPr="00413DFD">
                              <w:rPr>
                                <w:rFonts w:ascii="Times New Roman" w:eastAsia="宋体" w:hAnsi="Times New Roman" w:hint="eastAsia"/>
                                <w:sz w:val="16"/>
                                <w:szCs w:val="16"/>
                                <w:lang w:val="en-US" w:eastAsia="zh-CN"/>
                              </w:rPr>
                              <w:t>29 May 2026</w:t>
                            </w:r>
                          </w:p>
                          <w:p w14:paraId="57030E20" w14:textId="77777777" w:rsidR="00FF2923" w:rsidRPr="00413DFD" w:rsidRDefault="00000000">
                            <w:pPr>
                              <w:adjustRightInd w:val="0"/>
                              <w:snapToGrid w:val="0"/>
                              <w:spacing w:after="0" w:line="288" w:lineRule="auto"/>
                              <w:rPr>
                                <w:rFonts w:ascii="Times New Roman" w:eastAsia="宋体" w:hAnsi="Times New Roman"/>
                                <w:sz w:val="16"/>
                                <w:szCs w:val="16"/>
                                <w:lang w:val="en-US" w:eastAsia="zh-CN"/>
                              </w:rPr>
                            </w:pPr>
                            <w:r w:rsidRPr="00413DFD">
                              <w:rPr>
                                <w:rFonts w:ascii="Times New Roman" w:hAnsi="Times New Roman"/>
                                <w:sz w:val="16"/>
                                <w:szCs w:val="16"/>
                                <w:lang w:val="en-US"/>
                              </w:rPr>
                              <w:t xml:space="preserve">Accepted: </w:t>
                            </w:r>
                            <w:r w:rsidRPr="00413DFD">
                              <w:rPr>
                                <w:rFonts w:ascii="Times New Roman" w:eastAsia="宋体" w:hAnsi="Times New Roman" w:hint="eastAsia"/>
                                <w:sz w:val="16"/>
                                <w:szCs w:val="16"/>
                                <w:lang w:val="en-US" w:eastAsia="zh-CN"/>
                              </w:rPr>
                              <w:t>3 June 2026</w:t>
                            </w:r>
                          </w:p>
                          <w:p w14:paraId="2B41D3AB" w14:textId="77777777" w:rsidR="00FF2923" w:rsidRPr="00413DFD" w:rsidRDefault="00000000">
                            <w:pPr>
                              <w:adjustRightInd w:val="0"/>
                              <w:snapToGrid w:val="0"/>
                              <w:spacing w:after="0" w:line="288" w:lineRule="auto"/>
                              <w:rPr>
                                <w:rFonts w:ascii="Times New Roman" w:eastAsiaTheme="minorEastAsia" w:hAnsi="Times New Roman"/>
                                <w:sz w:val="16"/>
                                <w:szCs w:val="16"/>
                                <w:lang w:val="en-US" w:eastAsia="zh-CN"/>
                              </w:rPr>
                            </w:pPr>
                            <w:r w:rsidRPr="00413DFD">
                              <w:rPr>
                                <w:rFonts w:ascii="Times New Roman" w:hAnsi="Times New Roman"/>
                                <w:sz w:val="16"/>
                                <w:szCs w:val="16"/>
                                <w:lang w:val="en-US"/>
                              </w:rPr>
                              <w:t xml:space="preserve">Available online: </w:t>
                            </w:r>
                            <w:r w:rsidR="00413DFD">
                              <w:rPr>
                                <w:rFonts w:ascii="Times New Roman" w:eastAsiaTheme="minorEastAsia" w:hAnsi="Times New Roman" w:hint="eastAsia"/>
                                <w:sz w:val="16"/>
                                <w:szCs w:val="16"/>
                                <w:lang w:val="en-US" w:eastAsia="zh-CN"/>
                              </w:rPr>
                              <w:t>9 June 2026</w:t>
                            </w:r>
                          </w:p>
                          <w:p w14:paraId="17620C22" w14:textId="77777777" w:rsidR="00FF2923" w:rsidRPr="00413DFD" w:rsidRDefault="00000000">
                            <w:pPr>
                              <w:pBdr>
                                <w:bottom w:val="single" w:sz="4" w:space="1" w:color="auto"/>
                              </w:pBdr>
                              <w:adjustRightInd w:val="0"/>
                              <w:snapToGrid w:val="0"/>
                              <w:spacing w:before="240" w:after="120" w:line="240" w:lineRule="auto"/>
                              <w:rPr>
                                <w:rFonts w:ascii="Times New Roman" w:eastAsia="Calibri" w:hAnsi="Times New Roman"/>
                                <w:b/>
                                <w:sz w:val="16"/>
                                <w:szCs w:val="16"/>
                              </w:rPr>
                            </w:pPr>
                            <w:r w:rsidRPr="00413DFD">
                              <w:rPr>
                                <w:rFonts w:ascii="Times New Roman" w:eastAsia="Calibri" w:hAnsi="Times New Roman"/>
                                <w:b/>
                                <w:sz w:val="16"/>
                                <w:szCs w:val="16"/>
                              </w:rPr>
                              <w:t>COPYRIGHT</w:t>
                            </w:r>
                            <w:bookmarkStart w:id="5" w:name="_Hlk138840665"/>
                            <w:bookmarkStart w:id="6" w:name="_Hlk138840666"/>
                            <w:bookmarkStart w:id="7" w:name="_Hlk138840736"/>
                            <w:bookmarkStart w:id="8" w:name="_Hlk138840737"/>
                          </w:p>
                          <w:p w14:paraId="277832FE" w14:textId="77777777" w:rsidR="00FF2923" w:rsidRPr="00413DFD" w:rsidRDefault="00000000">
                            <w:pPr>
                              <w:adjustRightInd w:val="0"/>
                              <w:snapToGrid w:val="0"/>
                              <w:spacing w:after="0" w:line="260" w:lineRule="atLeast"/>
                              <w:rPr>
                                <w:rFonts w:ascii="Times New Roman" w:hAnsi="Times New Roman"/>
                                <w:iCs/>
                                <w:sz w:val="16"/>
                                <w:szCs w:val="16"/>
                                <w:lang w:val="en-US"/>
                              </w:rPr>
                            </w:pPr>
                            <w:r w:rsidRPr="00413DFD">
                              <w:rPr>
                                <w:rFonts w:ascii="Times New Roman" w:hAnsi="Times New Roman"/>
                                <w:iCs/>
                                <w:noProof/>
                                <w:sz w:val="16"/>
                                <w:szCs w:val="16"/>
                                <w:lang w:eastAsia="en-IN"/>
                              </w:rPr>
                              <w:drawing>
                                <wp:inline distT="0" distB="0" distL="0" distR="0" wp14:anchorId="6B2302F6" wp14:editId="39358357">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bookmarkEnd w:id="5"/>
                          <w:bookmarkEnd w:id="6"/>
                          <w:bookmarkEnd w:id="7"/>
                          <w:bookmarkEnd w:id="8"/>
                          <w:p w14:paraId="30C52246"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iCs/>
                                <w:sz w:val="16"/>
                                <w:szCs w:val="16"/>
                                <w:lang w:val="en-US"/>
                              </w:rPr>
                              <w:t>Copyright © 2026 by author(s).</w:t>
                            </w:r>
                          </w:p>
                          <w:p w14:paraId="15C09267"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bCs/>
                                <w:i/>
                                <w:iCs/>
                                <w:sz w:val="16"/>
                                <w:szCs w:val="16"/>
                                <w:lang w:val="en-US"/>
                              </w:rPr>
                              <w:t xml:space="preserve">Journal of Biological Regulators and Homeostatic Agents </w:t>
                            </w:r>
                            <w:r w:rsidRPr="00EE1D38">
                              <w:rPr>
                                <w:rFonts w:ascii="Times New Roman" w:hAnsi="Times New Roman"/>
                                <w:iCs/>
                                <w:sz w:val="16"/>
                                <w:szCs w:val="16"/>
                                <w:lang w:val="en-US"/>
                              </w:rPr>
                              <w:t>is published by China Scientific Research Publishing Pte. Ltd. This work is licensed under the Creative Commons Attribution (CC BY) license.</w:t>
                            </w:r>
                          </w:p>
                          <w:p w14:paraId="17BD2B06"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iCs/>
                                <w:sz w:val="16"/>
                                <w:szCs w:val="16"/>
                                <w:lang w:val="en-US"/>
                              </w:rPr>
                              <w:t>https://creativecommons.org/licenses/by/4.0/</w:t>
                            </w:r>
                          </w:p>
                          <w:p w14:paraId="29CA50F4" w14:textId="67CFFA60" w:rsidR="00FF2923" w:rsidRPr="00413DFD" w:rsidRDefault="00FF2923" w:rsidP="00EE1D38">
                            <w:pPr>
                              <w:adjustRightInd w:val="0"/>
                              <w:snapToGrid w:val="0"/>
                              <w:spacing w:after="0" w:line="288" w:lineRule="auto"/>
                              <w:rPr>
                                <w:rFonts w:ascii="Times New Roman" w:hAnsi="Times New Roman"/>
                                <w:sz w:val="16"/>
                                <w:szCs w:val="16"/>
                                <w:lang w:val="en-US"/>
                              </w:rPr>
                            </w:pPr>
                          </w:p>
                        </w:txbxContent>
                      </wps:txbx>
                      <wps:bodyPr rot="0" vert="horz" wrap="square" lIns="0" tIns="0" rIns="180000" bIns="0" anchor="t" anchorCtr="0" upright="1">
                        <a:noAutofit/>
                      </wps:bodyPr>
                    </wps:wsp>
                  </a:graphicData>
                </a:graphic>
              </wp:anchor>
            </w:drawing>
          </mc:Choice>
          <mc:Fallback>
            <w:pict>
              <v:shapetype w14:anchorId="321B35E9"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" filled="f" stroked="f">
                <v:textbox inset="0,0,5mm,0">
                  <w:txbxContent>
                    <w:p w14:paraId="095C7DA2" w14:textId="77777777" w:rsidR="00FF2923" w:rsidRPr="00413DFD" w:rsidRDefault="00000000">
                      <w:pPr>
                        <w:pBdr>
                          <w:bottom w:val="single" w:sz="4" w:space="1" w:color="auto"/>
                        </w:pBdr>
                        <w:adjustRightInd w:val="0"/>
                        <w:snapToGrid w:val="0"/>
                        <w:spacing w:after="120" w:line="240" w:lineRule="auto"/>
                        <w:rPr>
                          <w:rFonts w:ascii="Times New Roman" w:eastAsia="Calibri" w:hAnsi="Times New Roman"/>
                          <w:b/>
                          <w:sz w:val="16"/>
                          <w:szCs w:val="16"/>
                        </w:rPr>
                      </w:pPr>
                      <w:r w:rsidRPr="00413DFD">
                        <w:rPr>
                          <w:rFonts w:ascii="Times New Roman" w:eastAsia="Calibri" w:hAnsi="Times New Roman"/>
                          <w:b/>
                          <w:sz w:val="16"/>
                          <w:szCs w:val="16"/>
                        </w:rPr>
                        <w:t>CITATION</w:t>
                      </w:r>
                    </w:p>
                    <w:p w14:paraId="3C4C6B6C" w14:textId="77777777" w:rsidR="00FF2923" w:rsidRPr="00413DFD" w:rsidRDefault="00000000">
                      <w:pPr>
                        <w:adjustRightInd w:val="0"/>
                        <w:snapToGrid w:val="0"/>
                        <w:spacing w:after="0" w:line="288" w:lineRule="auto"/>
                        <w:rPr>
                          <w:rFonts w:ascii="Times New Roman" w:eastAsiaTheme="minorEastAsia" w:hAnsi="Times New Roman"/>
                          <w:sz w:val="16"/>
                          <w:szCs w:val="16"/>
                          <w:lang w:val="en-US" w:eastAsia="zh-CN"/>
                        </w:rPr>
                      </w:pPr>
                      <w:r w:rsidRPr="00413DFD">
                        <w:rPr>
                          <w:rFonts w:ascii="Times New Roman" w:eastAsiaTheme="minorEastAsia" w:hAnsi="Times New Roman" w:hint="eastAsia"/>
                          <w:sz w:val="16"/>
                          <w:szCs w:val="16"/>
                          <w:lang w:val="en-US" w:eastAsia="zh-CN"/>
                        </w:rPr>
                        <w:t xml:space="preserve">Punitha Jilt </w:t>
                      </w:r>
                      <w:r w:rsidRPr="00413DFD">
                        <w:rPr>
                          <w:rFonts w:ascii="Times New Roman" w:hAnsi="Times New Roman"/>
                          <w:sz w:val="16"/>
                          <w:szCs w:val="16"/>
                          <w:lang w:val="en-US" w:eastAsia="zh-CN"/>
                        </w:rPr>
                        <w:t>A</w:t>
                      </w:r>
                      <w:r w:rsidRPr="00413DFD">
                        <w:rPr>
                          <w:rFonts w:ascii="Times New Roman" w:eastAsiaTheme="minorEastAsia" w:hAnsi="Times New Roman" w:hint="eastAsia"/>
                          <w:sz w:val="16"/>
                          <w:szCs w:val="16"/>
                          <w:lang w:val="en-US" w:eastAsia="zh-CN"/>
                        </w:rPr>
                        <w:t xml:space="preserve">, </w:t>
                      </w:r>
                      <w:r w:rsidRPr="00413DFD">
                        <w:rPr>
                          <w:rFonts w:ascii="Times New Roman" w:eastAsiaTheme="minorEastAsia" w:hAnsi="Times New Roman"/>
                          <w:sz w:val="16"/>
                          <w:szCs w:val="16"/>
                          <w:lang w:val="en-US" w:eastAsia="zh-CN"/>
                        </w:rPr>
                        <w:t>K</w:t>
                      </w:r>
                      <w:r w:rsidRPr="00413DFD">
                        <w:rPr>
                          <w:rFonts w:ascii="Times New Roman" w:hAnsi="Times New Roman"/>
                          <w:sz w:val="16"/>
                          <w:szCs w:val="16"/>
                          <w:lang w:val="en-US" w:eastAsia="zh-CN"/>
                        </w:rPr>
                        <w:t>av</w:t>
                      </w:r>
                      <w:r w:rsidRPr="00413DFD">
                        <w:rPr>
                          <w:rFonts w:ascii="Times New Roman" w:eastAsiaTheme="minorEastAsia" w:hAnsi="Times New Roman"/>
                          <w:sz w:val="16"/>
                          <w:szCs w:val="16"/>
                          <w:lang w:val="en-US" w:eastAsia="zh-CN"/>
                        </w:rPr>
                        <w:t>itha</w:t>
                      </w:r>
                      <w:r w:rsidRPr="00413DFD">
                        <w:rPr>
                          <w:rFonts w:ascii="Times New Roman" w:eastAsiaTheme="minorEastAsia" w:hAnsi="Times New Roman" w:hint="eastAsia"/>
                          <w:sz w:val="16"/>
                          <w:szCs w:val="16"/>
                          <w:lang w:val="en-US" w:eastAsia="zh-CN"/>
                        </w:rPr>
                        <w:t xml:space="preserve"> G</w:t>
                      </w:r>
                      <w:r w:rsidRPr="00413DFD">
                        <w:rPr>
                          <w:rFonts w:ascii="Times New Roman" w:hAnsi="Times New Roman"/>
                          <w:sz w:val="16"/>
                          <w:szCs w:val="16"/>
                          <w:lang w:val="en-US"/>
                        </w:rPr>
                        <w:t xml:space="preserve">. Lung cancer severity detection with pulmonary pathology using optimized deep learning framework. </w:t>
                      </w:r>
                      <w:r w:rsidRPr="00413DFD">
                        <w:rPr>
                          <w:rFonts w:ascii="Times New Roman" w:hAnsi="Times New Roman"/>
                          <w:bCs/>
                          <w:iCs/>
                          <w:sz w:val="16"/>
                          <w:szCs w:val="16"/>
                          <w:lang w:val="en-GB"/>
                        </w:rPr>
                        <w:t>Journal of Biological Regulators and Homeostatic Agents.</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2026</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40</w:t>
                      </w:r>
                      <w:r w:rsidRPr="00413DFD">
                        <w:rPr>
                          <w:rFonts w:ascii="Times New Roman" w:hAnsi="Times New Roman"/>
                          <w:sz w:val="16"/>
                          <w:szCs w:val="16"/>
                          <w:lang w:val="en-US"/>
                        </w:rPr>
                        <w:t>(</w:t>
                      </w:r>
                      <w:r w:rsidRPr="00413DFD">
                        <w:rPr>
                          <w:rFonts w:ascii="Times New Roman" w:eastAsiaTheme="minorEastAsia" w:hAnsi="Times New Roman" w:hint="eastAsia"/>
                          <w:sz w:val="16"/>
                          <w:szCs w:val="16"/>
                          <w:lang w:val="en-US" w:eastAsia="zh-CN"/>
                        </w:rPr>
                        <w:t>3</w:t>
                      </w:r>
                      <w:r w:rsidRPr="00413DFD">
                        <w:rPr>
                          <w:rFonts w:ascii="Times New Roman" w:hAnsi="Times New Roman"/>
                          <w:sz w:val="16"/>
                          <w:szCs w:val="16"/>
                          <w:lang w:val="en-US"/>
                        </w:rPr>
                        <w:t xml:space="preserve">): </w:t>
                      </w:r>
                      <w:r w:rsidRPr="00413DFD">
                        <w:rPr>
                          <w:rFonts w:ascii="Times New Roman" w:eastAsiaTheme="minorEastAsia" w:hAnsi="Times New Roman" w:hint="eastAsia"/>
                          <w:sz w:val="16"/>
                          <w:szCs w:val="16"/>
                          <w:lang w:val="en-US" w:eastAsia="zh-CN"/>
                        </w:rPr>
                        <w:t>122</w:t>
                      </w:r>
                      <w:r w:rsidRPr="00413DFD">
                        <w:rPr>
                          <w:rFonts w:ascii="Times New Roman" w:hAnsi="Times New Roman"/>
                          <w:sz w:val="16"/>
                          <w:szCs w:val="16"/>
                          <w:lang w:val="en-US"/>
                        </w:rPr>
                        <w:t>. https://doi.org/10.</w:t>
                      </w:r>
                      <w:r w:rsidRPr="00413DFD">
                        <w:rPr>
                          <w:rFonts w:ascii="Times New Roman" w:eastAsiaTheme="minorEastAsia" w:hAnsi="Times New Roman" w:hint="eastAsia"/>
                          <w:sz w:val="16"/>
                          <w:szCs w:val="16"/>
                          <w:lang w:val="en-US" w:eastAsia="zh-CN"/>
                        </w:rPr>
                        <w:t>65746</w:t>
                      </w:r>
                      <w:r w:rsidRPr="00413DFD">
                        <w:rPr>
                          <w:rFonts w:ascii="Times New Roman" w:hAnsi="Times New Roman"/>
                          <w:sz w:val="16"/>
                          <w:szCs w:val="16"/>
                          <w:lang w:val="en-US"/>
                        </w:rPr>
                        <w:t>/</w:t>
                      </w:r>
                      <w:r w:rsidRPr="00413DFD">
                        <w:rPr>
                          <w:rFonts w:ascii="Times New Roman" w:eastAsiaTheme="minorEastAsia" w:hAnsi="Times New Roman" w:hint="eastAsia"/>
                          <w:sz w:val="16"/>
                          <w:szCs w:val="16"/>
                          <w:lang w:val="en-US" w:eastAsia="zh-CN"/>
                        </w:rPr>
                        <w:t>jbrha122</w:t>
                      </w:r>
                    </w:p>
                    <w:p w14:paraId="5AC1D138" w14:textId="77777777" w:rsidR="00FF2923" w:rsidRPr="00413DFD" w:rsidRDefault="00000000">
                      <w:pPr>
                        <w:pBdr>
                          <w:bottom w:val="single" w:sz="4" w:space="1" w:color="auto"/>
                        </w:pBdr>
                        <w:adjustRightInd w:val="0"/>
                        <w:snapToGrid w:val="0"/>
                        <w:spacing w:before="240" w:after="120" w:line="240" w:lineRule="auto"/>
                        <w:rPr>
                          <w:rFonts w:ascii="Times New Roman" w:eastAsia="Calibri" w:hAnsi="Times New Roman"/>
                          <w:b/>
                          <w:sz w:val="16"/>
                          <w:szCs w:val="16"/>
                        </w:rPr>
                      </w:pPr>
                      <w:r w:rsidRPr="00413DFD">
                        <w:rPr>
                          <w:rFonts w:ascii="Times New Roman" w:eastAsia="Calibri" w:hAnsi="Times New Roman"/>
                          <w:b/>
                          <w:sz w:val="16"/>
                          <w:szCs w:val="16"/>
                        </w:rPr>
                        <w:t>ARTICLE INFO</w:t>
                      </w:r>
                    </w:p>
                    <w:p w14:paraId="58843A04" w14:textId="77777777" w:rsidR="00FF2923" w:rsidRPr="00413DFD" w:rsidRDefault="00000000">
                      <w:pPr>
                        <w:adjustRightInd w:val="0"/>
                        <w:snapToGrid w:val="0"/>
                        <w:spacing w:after="0" w:line="288" w:lineRule="auto"/>
                        <w:rPr>
                          <w:rFonts w:ascii="Times New Roman" w:eastAsia="宋体" w:hAnsi="Times New Roman"/>
                          <w:sz w:val="16"/>
                          <w:szCs w:val="16"/>
                          <w:lang w:val="en-US" w:eastAsia="zh-CN"/>
                        </w:rPr>
                      </w:pPr>
                      <w:r w:rsidRPr="00413DFD">
                        <w:rPr>
                          <w:rFonts w:ascii="Times New Roman" w:hAnsi="Times New Roman"/>
                          <w:sz w:val="16"/>
                          <w:szCs w:val="16"/>
                          <w:lang w:val="en-US"/>
                        </w:rPr>
                        <w:t xml:space="preserve">Received: </w:t>
                      </w:r>
                      <w:r w:rsidRPr="00413DFD">
                        <w:rPr>
                          <w:rFonts w:ascii="Times New Roman" w:eastAsia="宋体" w:hAnsi="Times New Roman" w:hint="eastAsia"/>
                          <w:sz w:val="16"/>
                          <w:szCs w:val="16"/>
                          <w:lang w:val="en-US" w:eastAsia="zh-CN"/>
                        </w:rPr>
                        <w:t>7 May 2026</w:t>
                      </w:r>
                    </w:p>
                    <w:p w14:paraId="63B2A223" w14:textId="77777777" w:rsidR="00FF2923" w:rsidRPr="00413DFD" w:rsidRDefault="00000000">
                      <w:pPr>
                        <w:adjustRightInd w:val="0"/>
                        <w:snapToGrid w:val="0"/>
                        <w:spacing w:after="0" w:line="288" w:lineRule="auto"/>
                        <w:rPr>
                          <w:rFonts w:ascii="Times New Roman" w:hAnsi="Times New Roman"/>
                          <w:sz w:val="16"/>
                          <w:szCs w:val="16"/>
                          <w:lang w:val="en-US" w:eastAsia="zh-CN"/>
                        </w:rPr>
                      </w:pPr>
                      <w:r w:rsidRPr="00413DFD">
                        <w:rPr>
                          <w:rFonts w:ascii="Times New Roman" w:hAnsi="Times New Roman"/>
                          <w:sz w:val="16"/>
                          <w:szCs w:val="16"/>
                          <w:lang w:val="en-US" w:eastAsia="zh-CN"/>
                        </w:rPr>
                        <w:t xml:space="preserve">Revised: </w:t>
                      </w:r>
                      <w:r w:rsidRPr="00413DFD">
                        <w:rPr>
                          <w:rFonts w:ascii="Times New Roman" w:eastAsia="宋体" w:hAnsi="Times New Roman" w:hint="eastAsia"/>
                          <w:sz w:val="16"/>
                          <w:szCs w:val="16"/>
                          <w:lang w:val="en-US" w:eastAsia="zh-CN"/>
                        </w:rPr>
                        <w:t>29 May 2026</w:t>
                      </w:r>
                    </w:p>
                    <w:p w14:paraId="57030E20" w14:textId="77777777" w:rsidR="00FF2923" w:rsidRPr="00413DFD" w:rsidRDefault="00000000">
                      <w:pPr>
                        <w:adjustRightInd w:val="0"/>
                        <w:snapToGrid w:val="0"/>
                        <w:spacing w:after="0" w:line="288" w:lineRule="auto"/>
                        <w:rPr>
                          <w:rFonts w:ascii="Times New Roman" w:eastAsia="宋体" w:hAnsi="Times New Roman"/>
                          <w:sz w:val="16"/>
                          <w:szCs w:val="16"/>
                          <w:lang w:val="en-US" w:eastAsia="zh-CN"/>
                        </w:rPr>
                      </w:pPr>
                      <w:r w:rsidRPr="00413DFD">
                        <w:rPr>
                          <w:rFonts w:ascii="Times New Roman" w:hAnsi="Times New Roman"/>
                          <w:sz w:val="16"/>
                          <w:szCs w:val="16"/>
                          <w:lang w:val="en-US"/>
                        </w:rPr>
                        <w:t xml:space="preserve">Accepted: </w:t>
                      </w:r>
                      <w:r w:rsidRPr="00413DFD">
                        <w:rPr>
                          <w:rFonts w:ascii="Times New Roman" w:eastAsia="宋体" w:hAnsi="Times New Roman" w:hint="eastAsia"/>
                          <w:sz w:val="16"/>
                          <w:szCs w:val="16"/>
                          <w:lang w:val="en-US" w:eastAsia="zh-CN"/>
                        </w:rPr>
                        <w:t>3 June 2026</w:t>
                      </w:r>
                    </w:p>
                    <w:p w14:paraId="2B41D3AB" w14:textId="77777777" w:rsidR="00FF2923" w:rsidRPr="00413DFD" w:rsidRDefault="00000000">
                      <w:pPr>
                        <w:adjustRightInd w:val="0"/>
                        <w:snapToGrid w:val="0"/>
                        <w:spacing w:after="0" w:line="288" w:lineRule="auto"/>
                        <w:rPr>
                          <w:rFonts w:ascii="Times New Roman" w:eastAsiaTheme="minorEastAsia" w:hAnsi="Times New Roman"/>
                          <w:sz w:val="16"/>
                          <w:szCs w:val="16"/>
                          <w:lang w:val="en-US" w:eastAsia="zh-CN"/>
                        </w:rPr>
                      </w:pPr>
                      <w:r w:rsidRPr="00413DFD">
                        <w:rPr>
                          <w:rFonts w:ascii="Times New Roman" w:hAnsi="Times New Roman"/>
                          <w:sz w:val="16"/>
                          <w:szCs w:val="16"/>
                          <w:lang w:val="en-US"/>
                        </w:rPr>
                        <w:t xml:space="preserve">Available online: </w:t>
                      </w:r>
                      <w:r w:rsidR="00413DFD">
                        <w:rPr>
                          <w:rFonts w:ascii="Times New Roman" w:eastAsiaTheme="minorEastAsia" w:hAnsi="Times New Roman" w:hint="eastAsia"/>
                          <w:sz w:val="16"/>
                          <w:szCs w:val="16"/>
                          <w:lang w:val="en-US" w:eastAsia="zh-CN"/>
                        </w:rPr>
                        <w:t>9 June 2026</w:t>
                      </w:r>
                    </w:p>
                    <w:p w14:paraId="17620C22" w14:textId="77777777" w:rsidR="00FF2923" w:rsidRPr="00413DFD" w:rsidRDefault="00000000">
                      <w:pPr>
                        <w:pBdr>
                          <w:bottom w:val="single" w:sz="4" w:space="1" w:color="auto"/>
                        </w:pBdr>
                        <w:adjustRightInd w:val="0"/>
                        <w:snapToGrid w:val="0"/>
                        <w:spacing w:before="240" w:after="120" w:line="240" w:lineRule="auto"/>
                        <w:rPr>
                          <w:rFonts w:ascii="Times New Roman" w:eastAsia="Calibri" w:hAnsi="Times New Roman"/>
                          <w:b/>
                          <w:sz w:val="16"/>
                          <w:szCs w:val="16"/>
                        </w:rPr>
                      </w:pPr>
                      <w:r w:rsidRPr="00413DFD">
                        <w:rPr>
                          <w:rFonts w:ascii="Times New Roman" w:eastAsia="Calibri" w:hAnsi="Times New Roman"/>
                          <w:b/>
                          <w:sz w:val="16"/>
                          <w:szCs w:val="16"/>
                        </w:rPr>
                        <w:t>COPYRIGHT</w:t>
                      </w:r>
                      <w:bookmarkStart w:id="9" w:name="_Hlk138840665"/>
                      <w:bookmarkStart w:id="10" w:name="_Hlk138840666"/>
                      <w:bookmarkStart w:id="11" w:name="_Hlk138840736"/>
                      <w:bookmarkStart w:id="12" w:name="_Hlk138840737"/>
                    </w:p>
                    <w:p w14:paraId="277832FE" w14:textId="77777777" w:rsidR="00FF2923" w:rsidRPr="00413DFD" w:rsidRDefault="00000000">
                      <w:pPr>
                        <w:adjustRightInd w:val="0"/>
                        <w:snapToGrid w:val="0"/>
                        <w:spacing w:after="0" w:line="260" w:lineRule="atLeast"/>
                        <w:rPr>
                          <w:rFonts w:ascii="Times New Roman" w:hAnsi="Times New Roman"/>
                          <w:iCs/>
                          <w:sz w:val="16"/>
                          <w:szCs w:val="16"/>
                          <w:lang w:val="en-US"/>
                        </w:rPr>
                      </w:pPr>
                      <w:r w:rsidRPr="00413DFD">
                        <w:rPr>
                          <w:rFonts w:ascii="Times New Roman" w:hAnsi="Times New Roman"/>
                          <w:iCs/>
                          <w:noProof/>
                          <w:sz w:val="16"/>
                          <w:szCs w:val="16"/>
                          <w:lang w:eastAsia="en-IN"/>
                        </w:rPr>
                        <w:drawing>
                          <wp:inline distT="0" distB="0" distL="0" distR="0" wp14:anchorId="6B2302F6" wp14:editId="39358357">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bookmarkEnd w:id="9"/>
                    <w:bookmarkEnd w:id="10"/>
                    <w:bookmarkEnd w:id="11"/>
                    <w:bookmarkEnd w:id="12"/>
                    <w:p w14:paraId="30C52246"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iCs/>
                          <w:sz w:val="16"/>
                          <w:szCs w:val="16"/>
                          <w:lang w:val="en-US"/>
                        </w:rPr>
                        <w:t>Copyright © 2026 by author(s).</w:t>
                      </w:r>
                    </w:p>
                    <w:p w14:paraId="15C09267"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bCs/>
                          <w:i/>
                          <w:iCs/>
                          <w:sz w:val="16"/>
                          <w:szCs w:val="16"/>
                          <w:lang w:val="en-US"/>
                        </w:rPr>
                        <w:t xml:space="preserve">Journal of Biological Regulators and Homeostatic Agents </w:t>
                      </w:r>
                      <w:r w:rsidRPr="00EE1D38">
                        <w:rPr>
                          <w:rFonts w:ascii="Times New Roman" w:hAnsi="Times New Roman"/>
                          <w:iCs/>
                          <w:sz w:val="16"/>
                          <w:szCs w:val="16"/>
                          <w:lang w:val="en-US"/>
                        </w:rPr>
                        <w:t>is published by China Scientific Research Publishing Pte. Ltd. This work is licensed under the Creative Commons Attribution (CC BY) license.</w:t>
                      </w:r>
                    </w:p>
                    <w:p w14:paraId="17BD2B06" w14:textId="77777777" w:rsidR="00EE1D38" w:rsidRPr="00EE1D38" w:rsidRDefault="00EE1D38" w:rsidP="00EE1D38">
                      <w:pPr>
                        <w:adjustRightInd w:val="0"/>
                        <w:snapToGrid w:val="0"/>
                        <w:spacing w:after="0" w:line="288" w:lineRule="auto"/>
                        <w:rPr>
                          <w:rFonts w:ascii="Times New Roman" w:hAnsi="Times New Roman"/>
                          <w:iCs/>
                          <w:sz w:val="16"/>
                          <w:szCs w:val="16"/>
                          <w:lang w:val="en-US"/>
                        </w:rPr>
                      </w:pPr>
                      <w:r w:rsidRPr="00EE1D38">
                        <w:rPr>
                          <w:rFonts w:ascii="Times New Roman" w:hAnsi="Times New Roman"/>
                          <w:iCs/>
                          <w:sz w:val="16"/>
                          <w:szCs w:val="16"/>
                          <w:lang w:val="en-US"/>
                        </w:rPr>
                        <w:t>https://creativecommons.org/licenses/by/4.0/</w:t>
                      </w:r>
                    </w:p>
                    <w:p w14:paraId="29CA50F4" w14:textId="67CFFA60" w:rsidR="00FF2923" w:rsidRPr="00413DFD" w:rsidRDefault="00FF2923" w:rsidP="00EE1D38">
                      <w:pPr>
                        <w:adjustRightInd w:val="0"/>
                        <w:snapToGrid w:val="0"/>
                        <w:spacing w:after="0" w:line="288" w:lineRule="auto"/>
                        <w:rPr>
                          <w:rFonts w:ascii="Times New Roman" w:hAnsi="Times New Roman"/>
                          <w:sz w:val="16"/>
                          <w:szCs w:val="16"/>
                          <w:lang w:val="en-US"/>
                        </w:rPr>
                      </w:pPr>
                    </w:p>
                  </w:txbxContent>
                </v:textbox>
                <w10:wrap type="square" anchorx="margin"/>
              </v:shape>
            </w:pict>
          </mc:Fallback>
        </mc:AlternateContent>
      </w:r>
      <w:r w:rsidRPr="00C76262">
        <w:rPr>
          <w:rFonts w:ascii="Times New Roman" w:hAnsi="Times New Roman" w:cs="Times New Roman"/>
          <w:b/>
          <w:sz w:val="20"/>
          <w:szCs w:val="20"/>
          <w:lang w:val="en-US"/>
        </w:rPr>
        <w:t>Abstract</w:t>
      </w:r>
      <w:r w:rsidRPr="00C76262">
        <w:rPr>
          <w:rFonts w:ascii="Times New Roman" w:hAnsi="Times New Roman" w:cs="Times New Roman"/>
          <w:b/>
          <w:caps/>
          <w:sz w:val="20"/>
          <w:szCs w:val="20"/>
          <w:lang w:val="en-US" w:eastAsia="zh-CN"/>
        </w:rPr>
        <w:t xml:space="preserve">: </w:t>
      </w:r>
      <w:r w:rsidRPr="00C76262">
        <w:rPr>
          <w:rFonts w:ascii="Times New Roman" w:hAnsi="Times New Roman" w:cs="Times New Roman"/>
          <w:sz w:val="20"/>
          <w:lang w:val="en-US"/>
        </w:rPr>
        <w:t xml:space="preserve">Lung cancer leads to mortality worldwide, and hence, accurate cancer grading is essential for prognosis and treatment planning. Existing tumor grading approaches are time-consuming and prone to inter-observer inconsistency. Also, existing Deep Learning (DL) approaches focus on binary classification and fail to identify the fine-grained tumor aggressiveness, which is crucial for accurate prognosis and treatment planning. This study develops a hybrid attention-based DL grading framework for accurate detection and grading of lung cancer into adenocarcinoma, squamous cell carcinoma, and normal tissues, which differentiates into grade 1, grade 2, and grade 3 tumor grades. The proposed methodology utilizes a Macenko color normalization method to preprocess the high-resolution histopathological images. The proposed work introduces a hybrid attention-based DL framework, </w:t>
      </w:r>
      <w:proofErr w:type="spellStart"/>
      <w:r w:rsidRPr="00C76262">
        <w:rPr>
          <w:rFonts w:ascii="Times New Roman" w:hAnsi="Times New Roman" w:cs="Times New Roman"/>
          <w:sz w:val="20"/>
          <w:lang w:val="en-US"/>
        </w:rPr>
        <w:t>ResCBAM-ViTFSG</w:t>
      </w:r>
      <w:proofErr w:type="spellEnd"/>
      <w:r w:rsidRPr="00C76262">
        <w:rPr>
          <w:rFonts w:ascii="Times New Roman" w:hAnsi="Times New Roman" w:cs="Times New Roman"/>
          <w:sz w:val="20"/>
          <w:lang w:val="en-US"/>
        </w:rPr>
        <w:t>, that integrates ResNet18 with Convolutional Block Attention Module (CBAM) for extracting local spatial features and Vision Transformer with Feature Selection Gate (FSG) for extracting global features. To improve robustness, introduced a novel Uncertainty-Aware Reweighting Adam (UAR-Adam) optimizer that dynamically adjusts learning rates. The proposed work achieved fine-grained grading of lung cancer through per-class grading analysis, effective feature extraction counts, and optimizer benchmarking, achieving an accuracy of 98.34</w:t>
      </w:r>
      <w:r w:rsidRPr="00C76262">
        <w:rPr>
          <w:rFonts w:ascii="Times New Roman" w:eastAsiaTheme="minorEastAsia" w:hAnsi="Times New Roman" w:cs="Times New Roman"/>
          <w:sz w:val="20"/>
          <w:lang w:val="en-US" w:eastAsia="zh-CN"/>
        </w:rPr>
        <w:t xml:space="preserve"> </w:t>
      </w:r>
      <w:r w:rsidRPr="00C76262">
        <w:rPr>
          <w:rFonts w:ascii="Times New Roman" w:hAnsi="Times New Roman" w:cs="Times New Roman"/>
          <w:sz w:val="20"/>
          <w:lang w:val="en-US"/>
        </w:rPr>
        <w:t>%, precision of 98.50</w:t>
      </w:r>
      <w:r w:rsidRPr="00C76262">
        <w:rPr>
          <w:rFonts w:ascii="Times New Roman" w:eastAsiaTheme="minorEastAsia" w:hAnsi="Times New Roman" w:cs="Times New Roman"/>
          <w:sz w:val="20"/>
          <w:lang w:val="en-US" w:eastAsia="zh-CN"/>
        </w:rPr>
        <w:t xml:space="preserve"> </w:t>
      </w:r>
      <w:r w:rsidRPr="00C76262">
        <w:rPr>
          <w:rFonts w:ascii="Times New Roman" w:hAnsi="Times New Roman" w:cs="Times New Roman"/>
          <w:sz w:val="20"/>
          <w:lang w:val="en-US"/>
        </w:rPr>
        <w:t>%, recall of 98.18</w:t>
      </w:r>
      <w:r w:rsidRPr="00C76262">
        <w:rPr>
          <w:rFonts w:ascii="Times New Roman" w:eastAsiaTheme="minorEastAsia" w:hAnsi="Times New Roman" w:cs="Times New Roman"/>
          <w:sz w:val="20"/>
          <w:lang w:val="en-US" w:eastAsia="zh-CN"/>
        </w:rPr>
        <w:t xml:space="preserve"> </w:t>
      </w:r>
      <w:r w:rsidRPr="00C76262">
        <w:rPr>
          <w:rFonts w:ascii="Times New Roman" w:hAnsi="Times New Roman" w:cs="Times New Roman"/>
          <w:sz w:val="20"/>
          <w:lang w:val="en-US"/>
        </w:rPr>
        <w:t xml:space="preserve">%, </w:t>
      </w:r>
      <w:r w:rsidRPr="00C76262">
        <w:rPr>
          <w:rFonts w:ascii="Times New Roman" w:eastAsiaTheme="minorEastAsia" w:hAnsi="Times New Roman" w:cs="Times New Roman"/>
          <w:sz w:val="20"/>
          <w:lang w:val="en-US" w:eastAsia="zh-CN"/>
        </w:rPr>
        <w:t>F</w:t>
      </w:r>
      <w:r w:rsidRPr="00C76262">
        <w:rPr>
          <w:rFonts w:ascii="Times New Roman" w:hAnsi="Times New Roman" w:cs="Times New Roman"/>
          <w:sz w:val="20"/>
          <w:lang w:val="en-US"/>
        </w:rPr>
        <w:t>1-score of 98.34</w:t>
      </w:r>
      <w:r w:rsidRPr="00C76262">
        <w:rPr>
          <w:rFonts w:ascii="Times New Roman" w:eastAsiaTheme="minorEastAsia" w:hAnsi="Times New Roman" w:cs="Times New Roman"/>
          <w:sz w:val="20"/>
          <w:lang w:val="en-US" w:eastAsia="zh-CN"/>
        </w:rPr>
        <w:t xml:space="preserve"> </w:t>
      </w:r>
      <w:r w:rsidRPr="00C76262">
        <w:rPr>
          <w:rFonts w:ascii="Times New Roman" w:hAnsi="Times New Roman" w:cs="Times New Roman"/>
          <w:sz w:val="20"/>
          <w:lang w:val="en-US"/>
        </w:rPr>
        <w:t>%, and an inference time of 7.8</w:t>
      </w:r>
      <w:r w:rsidRPr="00C76262">
        <w:rPr>
          <w:rFonts w:ascii="Times New Roman" w:eastAsiaTheme="minorEastAsia" w:hAnsi="Times New Roman" w:cs="Times New Roman"/>
          <w:sz w:val="20"/>
          <w:lang w:val="en-US" w:eastAsia="zh-CN"/>
        </w:rPr>
        <w:t xml:space="preserve"> </w:t>
      </w:r>
      <w:proofErr w:type="spellStart"/>
      <w:r w:rsidRPr="00C76262">
        <w:rPr>
          <w:rFonts w:ascii="Times New Roman" w:hAnsi="Times New Roman" w:cs="Times New Roman"/>
          <w:sz w:val="20"/>
          <w:lang w:val="en-US"/>
        </w:rPr>
        <w:t>ms.</w:t>
      </w:r>
      <w:proofErr w:type="spellEnd"/>
      <w:r w:rsidRPr="00C76262">
        <w:rPr>
          <w:rFonts w:ascii="Times New Roman" w:hAnsi="Times New Roman" w:cs="Times New Roman"/>
          <w:sz w:val="20"/>
          <w:lang w:val="en-US"/>
        </w:rPr>
        <w:t xml:space="preserve"> These results outperform baseline models in lung cancer grading, suitable for deployment in pulmonary pathology clinical diagnostic systems.</w:t>
      </w:r>
    </w:p>
    <w:p w14:paraId="61BA4DDF" w14:textId="77777777" w:rsidR="00FF2923" w:rsidRPr="00C76262" w:rsidRDefault="00000000">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cs="Times New Roman"/>
          <w:i/>
          <w:sz w:val="20"/>
          <w:lang w:val="en-US"/>
        </w:rPr>
      </w:pPr>
      <w:r w:rsidRPr="00C76262">
        <w:rPr>
          <w:rFonts w:ascii="Times New Roman" w:hAnsi="Times New Roman" w:cs="Times New Roman"/>
          <w:b/>
          <w:sz w:val="20"/>
          <w:lang w:val="en-US"/>
        </w:rPr>
        <w:t xml:space="preserve">Keywords: </w:t>
      </w:r>
      <w:bookmarkStart w:id="13" w:name="OLE_LINK11"/>
      <w:r w:rsidRPr="00C76262">
        <w:rPr>
          <w:rFonts w:ascii="Times New Roman" w:hAnsi="Times New Roman" w:cs="Times New Roman"/>
          <w:iCs/>
          <w:sz w:val="20"/>
          <w:lang w:val="en-US"/>
        </w:rPr>
        <w:t xml:space="preserve">deep learning; histopathological images; lung cancer grading; pulmonary pathology; uncertainty-aware reweighted </w:t>
      </w:r>
      <w:r w:rsidRPr="00C76262">
        <w:rPr>
          <w:rFonts w:ascii="Times New Roman" w:eastAsiaTheme="minorEastAsia" w:hAnsi="Times New Roman" w:cs="Times New Roman"/>
          <w:iCs/>
          <w:sz w:val="20"/>
          <w:lang w:val="en-US" w:eastAsia="zh-CN"/>
        </w:rPr>
        <w:t>A</w:t>
      </w:r>
      <w:r w:rsidRPr="00C76262">
        <w:rPr>
          <w:rFonts w:ascii="Times New Roman" w:hAnsi="Times New Roman" w:cs="Times New Roman"/>
          <w:iCs/>
          <w:sz w:val="20"/>
          <w:lang w:val="en-US"/>
        </w:rPr>
        <w:t>dam.</w:t>
      </w:r>
    </w:p>
    <w:bookmarkEnd w:id="13"/>
    <w:p w14:paraId="434A3DDA" w14:textId="77777777" w:rsidR="00FF2923" w:rsidRPr="00C76262"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cs="Times New Roman"/>
          <w:b/>
          <w:sz w:val="26"/>
          <w:szCs w:val="26"/>
          <w:lang w:val="en-US"/>
        </w:rPr>
      </w:pPr>
      <w:r w:rsidRPr="00C76262">
        <w:rPr>
          <w:rFonts w:ascii="Times New Roman" w:eastAsia="Calibri" w:hAnsi="Times New Roman" w:cs="Times New Roman"/>
          <w:b/>
          <w:sz w:val="26"/>
          <w:szCs w:val="26"/>
          <w:lang w:val="en-US"/>
        </w:rPr>
        <w:t>1. Introduction</w:t>
      </w:r>
    </w:p>
    <w:p w14:paraId="1233A5DF" w14:textId="77777777" w:rsidR="00FF2923" w:rsidRPr="00C76262" w:rsidRDefault="00000000">
      <w:pPr>
        <w:pStyle w:val="MDPI31text"/>
        <w:spacing w:line="288" w:lineRule="auto"/>
        <w:ind w:left="2948" w:firstLine="442"/>
        <w:rPr>
          <w:rFonts w:ascii="Times New Roman" w:eastAsia="宋体" w:hAnsi="Times New Roman"/>
          <w:color w:val="auto"/>
          <w:sz w:val="22"/>
          <w:szCs w:val="24"/>
          <w:lang w:eastAsia="en-US" w:bidi="ar-SA"/>
        </w:rPr>
      </w:pPr>
      <w:r w:rsidRPr="00C76262">
        <w:rPr>
          <w:rFonts w:ascii="Times New Roman" w:eastAsia="宋体" w:hAnsi="Times New Roman"/>
          <w:color w:val="auto"/>
          <w:sz w:val="22"/>
          <w:szCs w:val="24"/>
          <w:lang w:eastAsia="en-US" w:bidi="ar-SA"/>
        </w:rPr>
        <w:t>Lung cancer is the leading cause of malignant tumors worldwide, with a high morbidity and mortality rate [1]. The 2023 statistics estimated 238,340 lung cancer cases in the United States, presenting a serious public health issue [2]. Lung cancer is separated into two types based on pathological characteristics: Small Cell Lung Carcinoma (SCLC), which represents microscopic glandular-related tissue cytology, and Non-Small Cell Lung Carcinoma (NSCLC), which denotes the observable traits of squamous differentiation, which includes 80</w:t>
      </w:r>
      <w:r w:rsidRPr="00C76262">
        <w:rPr>
          <w:rFonts w:ascii="Times New Roman" w:eastAsia="宋体" w:hAnsi="Times New Roman"/>
          <w:color w:val="auto"/>
          <w:sz w:val="22"/>
          <w:szCs w:val="24"/>
          <w:lang w:eastAsia="zh-CN" w:bidi="ar-SA"/>
        </w:rPr>
        <w:t>–</w:t>
      </w:r>
      <w:r w:rsidRPr="00C76262">
        <w:rPr>
          <w:rFonts w:ascii="Times New Roman" w:eastAsia="宋体" w:hAnsi="Times New Roman"/>
          <w:color w:val="auto"/>
          <w:sz w:val="22"/>
          <w:szCs w:val="24"/>
          <w:lang w:eastAsia="en-US" w:bidi="ar-SA"/>
        </w:rPr>
        <w:t xml:space="preserve">85% of lung cancer cases. The NSCLC types are lung adenocarcinoma (ADC) and lung squamous cell carcinoma (LUSC) [3,4]. Early detection of pulmonary pathology is vital for refining the survival rate of patients with lung cancer [5]. Histopathological images are the most significant method for diagnosing lung cancer subtypes, providing information on the structure </w:t>
      </w:r>
      <w:r w:rsidRPr="00C76262">
        <w:rPr>
          <w:rFonts w:ascii="Times New Roman" w:eastAsia="宋体" w:hAnsi="Times New Roman"/>
          <w:color w:val="auto"/>
          <w:sz w:val="22"/>
          <w:szCs w:val="24"/>
          <w:lang w:eastAsia="en-US" w:bidi="ar-SA"/>
        </w:rPr>
        <w:lastRenderedPageBreak/>
        <w:t>of tissues and cells, and enabling pathologists to identify and classify tumors [6,7]. Recently, tumor grading has played an important part in the diagnosis of lung cancer in pathology. Tumor grading is an important component in the pathologic diagnosis of lung cancer, which assesses the tumor aggressiveness, treatment decision, and prognosis [8]. The grading of ADC and LUSC follows the grading criteria by the International Association for the Study of Lung Cancer (IASLC) that suggests a three-tier grading system: low grade, intermediate grade, and high grade. According to the IASLC grading criteria, Grade 1 tumors are considered low-grade and are characterized by a lepidic growth pattern and which has no high-grade features. Grade 2 tumors are classified as intermediate-grade and commonly exhibit papillary or acinar growth patterns with less than 20</w:t>
      </w:r>
      <w:r w:rsidRPr="00C76262">
        <w:rPr>
          <w:rFonts w:ascii="Times New Roman" w:eastAsia="宋体" w:hAnsi="Times New Roman"/>
          <w:color w:val="auto"/>
          <w:sz w:val="22"/>
          <w:szCs w:val="24"/>
          <w:lang w:eastAsia="zh-CN" w:bidi="ar-SA"/>
        </w:rPr>
        <w:t xml:space="preserve"> </w:t>
      </w:r>
      <w:r w:rsidRPr="00C76262">
        <w:rPr>
          <w:rFonts w:ascii="Times New Roman" w:eastAsia="宋体" w:hAnsi="Times New Roman"/>
          <w:color w:val="auto"/>
          <w:sz w:val="22"/>
          <w:szCs w:val="24"/>
          <w:lang w:eastAsia="en-US" w:bidi="ar-SA"/>
        </w:rPr>
        <w:t>% high-grade components, indicating moderate tumor aggressiveness [9,10]. Grade 3 tumors are categorized as high-grade they contain more than 20</w:t>
      </w:r>
      <w:r w:rsidRPr="00C76262">
        <w:rPr>
          <w:rFonts w:ascii="Times New Roman" w:eastAsia="宋体" w:hAnsi="Times New Roman"/>
          <w:color w:val="auto"/>
          <w:sz w:val="22"/>
          <w:szCs w:val="24"/>
          <w:lang w:eastAsia="zh-CN" w:bidi="ar-SA"/>
        </w:rPr>
        <w:t xml:space="preserve"> </w:t>
      </w:r>
      <w:r w:rsidRPr="00C76262">
        <w:rPr>
          <w:rFonts w:ascii="Times New Roman" w:eastAsia="宋体" w:hAnsi="Times New Roman"/>
          <w:color w:val="auto"/>
          <w:sz w:val="22"/>
          <w:szCs w:val="24"/>
          <w:lang w:eastAsia="en-US" w:bidi="ar-SA"/>
        </w:rPr>
        <w:t>% high-grade features such as solid or micropapillary patterns, which are strongly associated with rapid tumor progression, poor prognosis, and increased metastatic potential [11,12]. This grading system helps pathologists assess tumor severity and supports more accurate clinical decision-making and treatment planning.</w:t>
      </w:r>
    </w:p>
    <w:p w14:paraId="626F0F09" w14:textId="77777777" w:rsidR="00FF2923" w:rsidRPr="00C76262" w:rsidRDefault="00000000">
      <w:pPr>
        <w:pStyle w:val="MDPI31text"/>
        <w:spacing w:line="288" w:lineRule="auto"/>
        <w:ind w:left="2948" w:firstLine="442"/>
        <w:rPr>
          <w:rFonts w:ascii="Times New Roman" w:eastAsia="宋体" w:hAnsi="Times New Roman"/>
          <w:color w:val="auto"/>
          <w:sz w:val="22"/>
          <w:szCs w:val="24"/>
          <w:lang w:eastAsia="en-US" w:bidi="ar-SA"/>
        </w:rPr>
      </w:pPr>
      <w:r w:rsidRPr="00C76262">
        <w:rPr>
          <w:rFonts w:ascii="Times New Roman" w:eastAsia="宋体" w:hAnsi="Times New Roman"/>
          <w:color w:val="auto"/>
          <w:sz w:val="22"/>
          <w:szCs w:val="24"/>
          <w:lang w:eastAsia="en-US" w:bidi="ar-SA"/>
        </w:rPr>
        <w:t xml:space="preserve">Recent advancements in pulmonary pathology leverage Deep Learning (DL) approaches for cancer cell detection. Tan et al. [13] evaluated the IASLC grading system for predicting the Recurrence Specific Survival (RSS) and Lung Cancer Specific Survival (LCSS) for stage 1 patients with ADC. The approach splits the grade 2 tumors and accurately stratifies tumors by prognosis. Niedermaier et al. [14] proposed a study to evaluate the low-grade patterns in patients with intermediate-grade and high-grade ADC at the pathological stage. These results, the low grade showed no prognostic significance in intermediate and high-grade non-mucinous ADC. </w:t>
      </w:r>
      <w:proofErr w:type="spellStart"/>
      <w:r w:rsidRPr="00C76262">
        <w:rPr>
          <w:rFonts w:ascii="Times New Roman" w:eastAsia="宋体" w:hAnsi="Times New Roman"/>
          <w:color w:val="auto"/>
          <w:sz w:val="22"/>
          <w:szCs w:val="24"/>
          <w:lang w:eastAsia="en-US" w:bidi="ar-SA"/>
        </w:rPr>
        <w:t>Elazab</w:t>
      </w:r>
      <w:proofErr w:type="spellEnd"/>
      <w:r w:rsidRPr="00C76262">
        <w:rPr>
          <w:rFonts w:ascii="Times New Roman" w:eastAsia="宋体" w:hAnsi="Times New Roman"/>
          <w:color w:val="auto"/>
          <w:sz w:val="22"/>
          <w:szCs w:val="24"/>
          <w:lang w:eastAsia="en-US" w:bidi="ar-SA"/>
        </w:rPr>
        <w:t xml:space="preserve"> et al. [15] presented a system for accurately grading tumors by analy</w:t>
      </w:r>
      <w:r w:rsidRPr="00C76262">
        <w:rPr>
          <w:rFonts w:ascii="Times New Roman" w:eastAsia="宋体" w:hAnsi="Times New Roman"/>
          <w:color w:val="auto"/>
          <w:sz w:val="22"/>
          <w:szCs w:val="24"/>
          <w:lang w:eastAsia="zh-CN" w:bidi="ar-SA"/>
        </w:rPr>
        <w:t>z</w:t>
      </w:r>
      <w:r w:rsidRPr="00C76262">
        <w:rPr>
          <w:rFonts w:ascii="Times New Roman" w:eastAsia="宋体" w:hAnsi="Times New Roman"/>
          <w:color w:val="auto"/>
          <w:sz w:val="22"/>
          <w:szCs w:val="24"/>
          <w:lang w:eastAsia="en-US" w:bidi="ar-SA"/>
        </w:rPr>
        <w:t xml:space="preserve">ing histopathological images. The model utilized YOLO for object detection and </w:t>
      </w:r>
      <w:proofErr w:type="spellStart"/>
      <w:r w:rsidRPr="00C76262">
        <w:rPr>
          <w:rFonts w:ascii="Times New Roman" w:eastAsia="宋体" w:hAnsi="Times New Roman"/>
          <w:color w:val="auto"/>
          <w:sz w:val="22"/>
          <w:szCs w:val="24"/>
          <w:lang w:eastAsia="en-US" w:bidi="ar-SA"/>
        </w:rPr>
        <w:t>ResNet</w:t>
      </w:r>
      <w:proofErr w:type="spellEnd"/>
      <w:r w:rsidRPr="00C76262">
        <w:rPr>
          <w:rFonts w:ascii="Times New Roman" w:eastAsia="宋体" w:hAnsi="Times New Roman"/>
          <w:color w:val="auto"/>
          <w:sz w:val="22"/>
          <w:szCs w:val="24"/>
          <w:lang w:eastAsia="en-US" w:bidi="ar-SA"/>
        </w:rPr>
        <w:t xml:space="preserve"> for feature extraction to support pathologists in reducing variability in manual grading. Li et al. [16] developed a model for lung cancer subtype classification through advanced DL Models to analy</w:t>
      </w:r>
      <w:r w:rsidRPr="00C76262">
        <w:rPr>
          <w:rFonts w:ascii="Times New Roman" w:eastAsia="宋体" w:hAnsi="Times New Roman"/>
          <w:color w:val="auto"/>
          <w:sz w:val="22"/>
          <w:szCs w:val="24"/>
          <w:lang w:eastAsia="zh-CN" w:bidi="ar-SA"/>
        </w:rPr>
        <w:t>z</w:t>
      </w:r>
      <w:r w:rsidRPr="00C76262">
        <w:rPr>
          <w:rFonts w:ascii="Times New Roman" w:eastAsia="宋体" w:hAnsi="Times New Roman"/>
          <w:color w:val="auto"/>
          <w:sz w:val="22"/>
          <w:szCs w:val="24"/>
          <w:lang w:eastAsia="en-US" w:bidi="ar-SA"/>
        </w:rPr>
        <w:t xml:space="preserve">e complex histopathological features. The model utilized the Support Vector Machines (SVMs) to classify the lung cancer types from the extracted features. However, the model only included the initial stage of lung cancer histopathological images. Sethy et al. [17] proposed a hybrid model for the lung cancer classification through histopathological images. The framework combined </w:t>
      </w:r>
      <w:proofErr w:type="spellStart"/>
      <w:r w:rsidRPr="00C76262">
        <w:rPr>
          <w:rFonts w:ascii="Times New Roman" w:eastAsia="宋体" w:hAnsi="Times New Roman"/>
          <w:color w:val="auto"/>
          <w:sz w:val="22"/>
          <w:szCs w:val="24"/>
          <w:lang w:eastAsia="en-US" w:bidi="ar-SA"/>
        </w:rPr>
        <w:t>AlexNet</w:t>
      </w:r>
      <w:proofErr w:type="spellEnd"/>
      <w:r w:rsidRPr="00C76262">
        <w:rPr>
          <w:rFonts w:ascii="Times New Roman" w:eastAsia="宋体" w:hAnsi="Times New Roman"/>
          <w:color w:val="auto"/>
          <w:sz w:val="22"/>
          <w:szCs w:val="24"/>
          <w:lang w:eastAsia="en-US" w:bidi="ar-SA"/>
        </w:rPr>
        <w:t>, Wavelet, and SVMs to classify the lung cancer into three categories such as benign, ADC, and LUSC. Sumon et al. [18] proposed a hybrid model using DenseNet-121 for feature extraction and combined several Machine Learning (ML) classifiers. The model provided a solution to assist pathologists in early lung cancer diagnosis.</w:t>
      </w:r>
    </w:p>
    <w:p w14:paraId="59A0C0DB" w14:textId="77777777" w:rsidR="00FF2923" w:rsidRPr="00C76262" w:rsidRDefault="00000000">
      <w:pPr>
        <w:pStyle w:val="MDPI31text"/>
        <w:spacing w:line="288" w:lineRule="auto"/>
        <w:ind w:left="2948" w:firstLine="442"/>
        <w:rPr>
          <w:rFonts w:ascii="Times New Roman" w:eastAsia="宋体" w:hAnsi="Times New Roman"/>
          <w:color w:val="auto"/>
          <w:sz w:val="22"/>
          <w:szCs w:val="24"/>
          <w:lang w:eastAsia="en-US" w:bidi="ar-SA"/>
        </w:rPr>
      </w:pPr>
      <w:r w:rsidRPr="00C76262">
        <w:rPr>
          <w:rFonts w:ascii="Times New Roman" w:eastAsia="宋体" w:hAnsi="Times New Roman"/>
          <w:color w:val="auto"/>
          <w:sz w:val="22"/>
          <w:szCs w:val="24"/>
          <w:lang w:eastAsia="en-US" w:bidi="ar-SA"/>
        </w:rPr>
        <w:t xml:space="preserve">The primary issues with these works are that the current tumor grading methods are based on the manual histopathological evaluation of tumor patterns, and also that most available pathology approaches consider only binary classifications and fail to capture the finer differentiation grades that are clinically essential for risk stratification. Additionally, traditional lung cancer approaches struggle to extract local cellular features and global tissue in high-resolution histopathological images. To overcome these issues, we introduce a DL-based grading framework to classify ADC and LUSC into clinically relevant grades: grade 1, grade 2, and grade 3, based on their </w:t>
      </w:r>
      <w:r w:rsidRPr="00C76262">
        <w:rPr>
          <w:rFonts w:ascii="Times New Roman" w:eastAsia="宋体" w:hAnsi="Times New Roman"/>
          <w:color w:val="auto"/>
          <w:sz w:val="22"/>
          <w:szCs w:val="24"/>
          <w:lang w:eastAsia="en-US" w:bidi="ar-SA"/>
        </w:rPr>
        <w:lastRenderedPageBreak/>
        <w:t xml:space="preserve">aggressiveness from histopathological images, and this is intended to enhance the reproducibility, efficacy, and prognostic accuracy of lung cancer grading. The major contributions of the proposed work are outlined below: </w:t>
      </w:r>
    </w:p>
    <w:p w14:paraId="071383AE" w14:textId="77777777" w:rsidR="00FF2923" w:rsidRPr="00C76262" w:rsidRDefault="00000000">
      <w:pPr>
        <w:pStyle w:val="af9"/>
        <w:numPr>
          <w:ilvl w:val="0"/>
          <w:numId w:val="1"/>
        </w:numPr>
        <w:adjustRightInd w:val="0"/>
        <w:snapToGrid w:val="0"/>
        <w:spacing w:after="0" w:line="288" w:lineRule="auto"/>
        <w:ind w:left="3390" w:hanging="442"/>
        <w:contextualSpacing w:val="0"/>
        <w:jc w:val="both"/>
        <w:rPr>
          <w:rFonts w:ascii="Times New Roman" w:eastAsia="宋体" w:hAnsi="Times New Roman" w:cs="Times New Roman"/>
          <w:bCs/>
          <w:lang w:val="ru-RU"/>
        </w:rPr>
      </w:pPr>
      <w:r w:rsidRPr="00C76262">
        <w:rPr>
          <w:rFonts w:ascii="Times New Roman" w:eastAsia="宋体" w:hAnsi="Times New Roman" w:cs="Times New Roman"/>
          <w:bCs/>
          <w:lang w:val="ru-RU"/>
        </w:rPr>
        <w:t>The study develops a hybrid attention-based DL framework for the accurate detection and grading of lung cancer into ADC, LUSC, and normal tissue to support early diagnosis and treatment planning in pulmonary pathology.</w:t>
      </w:r>
    </w:p>
    <w:p w14:paraId="12AF4FD4" w14:textId="77777777" w:rsidR="00FF2923" w:rsidRPr="00C76262" w:rsidRDefault="00000000">
      <w:pPr>
        <w:pStyle w:val="af9"/>
        <w:numPr>
          <w:ilvl w:val="0"/>
          <w:numId w:val="1"/>
        </w:numPr>
        <w:adjustRightInd w:val="0"/>
        <w:snapToGrid w:val="0"/>
        <w:spacing w:after="0" w:line="288" w:lineRule="auto"/>
        <w:ind w:left="3390" w:hanging="442"/>
        <w:contextualSpacing w:val="0"/>
        <w:jc w:val="both"/>
        <w:rPr>
          <w:rFonts w:ascii="Times New Roman" w:eastAsia="宋体" w:hAnsi="Times New Roman" w:cs="Times New Roman"/>
          <w:bCs/>
          <w:lang w:val="ru-RU"/>
        </w:rPr>
      </w:pPr>
      <w:r w:rsidRPr="00C76262">
        <w:rPr>
          <w:rFonts w:ascii="Times New Roman" w:eastAsia="宋体" w:hAnsi="Times New Roman" w:cs="Times New Roman"/>
          <w:bCs/>
          <w:lang w:val="ru-RU"/>
        </w:rPr>
        <w:t>We have developed a ResCBAM-ViTFSG model that integrates ResNet18 with the Convolutional Block Attention Module (CBAM) to enhance local features in histopathological images. We also improvised the vision transformer (ViT) by adding the Feature Selection Gate (FSG) attention layer to capture global features and long-range dependencies.</w:t>
      </w:r>
    </w:p>
    <w:p w14:paraId="6A963288" w14:textId="77777777" w:rsidR="00FF2923" w:rsidRPr="00C76262" w:rsidRDefault="00000000">
      <w:pPr>
        <w:pStyle w:val="af9"/>
        <w:numPr>
          <w:ilvl w:val="0"/>
          <w:numId w:val="1"/>
        </w:numPr>
        <w:adjustRightInd w:val="0"/>
        <w:snapToGrid w:val="0"/>
        <w:spacing w:after="0" w:line="288" w:lineRule="auto"/>
        <w:ind w:left="3390" w:hanging="442"/>
        <w:contextualSpacing w:val="0"/>
        <w:jc w:val="both"/>
        <w:rPr>
          <w:rFonts w:ascii="Times New Roman" w:eastAsia="宋体" w:hAnsi="Times New Roman" w:cs="Times New Roman"/>
          <w:bCs/>
          <w:lang w:val="ru-RU"/>
        </w:rPr>
      </w:pPr>
      <w:r w:rsidRPr="00C76262">
        <w:rPr>
          <w:rFonts w:ascii="Times New Roman" w:eastAsia="宋体" w:hAnsi="Times New Roman" w:cs="Times New Roman"/>
          <w:bCs/>
          <w:lang w:val="ru-RU"/>
        </w:rPr>
        <w:t xml:space="preserve">We have developed an Uncertainty-Aware Reweighted Adam (UAR-Adam) optimizer to adjust the learning rate based on staining variability, ambiguous tissue regions, and inter-observer disagreement uncertainties to ensure the generalization of the model. </w:t>
      </w:r>
    </w:p>
    <w:p w14:paraId="1F1D864A" w14:textId="77777777" w:rsidR="00FF2923" w:rsidRPr="00C76262" w:rsidRDefault="00000000">
      <w:pPr>
        <w:pStyle w:val="MDPI31text"/>
        <w:spacing w:line="288" w:lineRule="auto"/>
        <w:ind w:left="2948" w:firstLine="442"/>
        <w:rPr>
          <w:rFonts w:ascii="Times New Roman" w:eastAsia="宋体" w:hAnsi="Times New Roman"/>
          <w:color w:val="auto"/>
          <w:sz w:val="22"/>
          <w:szCs w:val="24"/>
          <w:lang w:eastAsia="en-US" w:bidi="ar-SA"/>
        </w:rPr>
      </w:pPr>
      <w:r w:rsidRPr="00C76262">
        <w:rPr>
          <w:rFonts w:ascii="Times New Roman" w:eastAsia="宋体" w:hAnsi="Times New Roman"/>
          <w:color w:val="auto"/>
          <w:sz w:val="22"/>
          <w:szCs w:val="24"/>
          <w:lang w:eastAsia="en-US" w:bidi="ar-SA"/>
        </w:rPr>
        <w:t xml:space="preserve">The remaining portion of this paper is structured as follows. Section II defined the methodology of the proposed framework. Section III delivers the experimental results, and Section IV includes the conclusion of the work. </w:t>
      </w:r>
    </w:p>
    <w:p w14:paraId="4AB59A87" w14:textId="77777777" w:rsidR="00FF2923" w:rsidRPr="00C76262" w:rsidRDefault="00000000">
      <w:pPr>
        <w:widowControl w:val="0"/>
        <w:autoSpaceDE w:val="0"/>
        <w:autoSpaceDN w:val="0"/>
        <w:adjustRightInd w:val="0"/>
        <w:snapToGrid w:val="0"/>
        <w:spacing w:before="240" w:after="120" w:line="288" w:lineRule="auto"/>
        <w:ind w:left="2948"/>
        <w:outlineLvl w:val="0"/>
        <w:rPr>
          <w:rFonts w:ascii="Times New Roman" w:eastAsiaTheme="minorEastAsia" w:hAnsi="Times New Roman" w:cs="Times New Roman"/>
          <w:b/>
          <w:sz w:val="26"/>
          <w:szCs w:val="26"/>
          <w:lang w:val="en-US" w:eastAsia="zh-CN"/>
        </w:rPr>
      </w:pPr>
      <w:r w:rsidRPr="00C76262">
        <w:rPr>
          <w:rFonts w:ascii="Times New Roman" w:eastAsia="Calibri" w:hAnsi="Times New Roman" w:cs="Times New Roman"/>
          <w:b/>
          <w:sz w:val="26"/>
          <w:szCs w:val="26"/>
          <w:lang w:val="en-US"/>
        </w:rPr>
        <w:t xml:space="preserve">2. Materials and </w:t>
      </w:r>
      <w:r w:rsidRPr="00C76262">
        <w:rPr>
          <w:rFonts w:ascii="Times New Roman" w:eastAsiaTheme="minorEastAsia" w:hAnsi="Times New Roman" w:cs="Times New Roman"/>
          <w:b/>
          <w:sz w:val="26"/>
          <w:szCs w:val="26"/>
          <w:lang w:val="en-US" w:eastAsia="zh-CN"/>
        </w:rPr>
        <w:t>m</w:t>
      </w:r>
      <w:r w:rsidRPr="00C76262">
        <w:rPr>
          <w:rFonts w:ascii="Times New Roman" w:eastAsia="Calibri" w:hAnsi="Times New Roman" w:cs="Times New Roman"/>
          <w:b/>
          <w:sz w:val="26"/>
          <w:szCs w:val="26"/>
          <w:lang w:val="en-US"/>
        </w:rPr>
        <w:t>ethods</w:t>
      </w:r>
    </w:p>
    <w:p w14:paraId="33F5F81F" w14:textId="77777777" w:rsidR="00FF2923" w:rsidRPr="00C76262" w:rsidRDefault="00000000">
      <w:pPr>
        <w:pStyle w:val="MDPI31text"/>
        <w:spacing w:line="288" w:lineRule="auto"/>
        <w:ind w:left="2948" w:firstLine="442"/>
        <w:rPr>
          <w:rFonts w:ascii="Times New Roman" w:eastAsia="宋体" w:hAnsi="Times New Roman"/>
          <w:color w:val="auto"/>
          <w:sz w:val="22"/>
          <w:szCs w:val="24"/>
          <w:lang w:eastAsia="en-US" w:bidi="ar-SA"/>
        </w:rPr>
      </w:pPr>
      <w:r w:rsidRPr="00C76262">
        <w:rPr>
          <w:rFonts w:ascii="Times New Roman" w:eastAsia="宋体" w:hAnsi="Times New Roman"/>
          <w:color w:val="auto"/>
          <w:sz w:val="22"/>
          <w:szCs w:val="24"/>
          <w:lang w:eastAsia="en-US" w:bidi="ar-SA"/>
        </w:rPr>
        <w:t>The proposed hybrid attention-based DL framework for lung cancer grading is illustrated in</w:t>
      </w:r>
      <w:r w:rsidRPr="00C76262">
        <w:rPr>
          <w:rFonts w:ascii="Times New Roman" w:eastAsia="宋体" w:hAnsi="Times New Roman"/>
          <w:b/>
          <w:bCs/>
          <w:color w:val="auto"/>
          <w:sz w:val="22"/>
          <w:szCs w:val="24"/>
          <w:lang w:eastAsia="en-US" w:bidi="ar-SA"/>
        </w:rPr>
        <w:t xml:space="preserve"> Figure 1</w:t>
      </w:r>
      <w:r w:rsidRPr="00C76262">
        <w:rPr>
          <w:rFonts w:ascii="Times New Roman" w:eastAsia="宋体" w:hAnsi="Times New Roman"/>
          <w:color w:val="auto"/>
          <w:sz w:val="22"/>
          <w:szCs w:val="24"/>
          <w:lang w:eastAsia="en-US" w:bidi="ar-SA"/>
        </w:rPr>
        <w:t xml:space="preserve">. We initially preprocessed the raw lung cancer high-resolution histopathological images through resizing. Macenko color normalization method is used to enhance image quality, and then we used data augmentation to increase the diversity of the dataset. The dual-branch </w:t>
      </w:r>
      <w:proofErr w:type="spellStart"/>
      <w:r w:rsidRPr="00C76262">
        <w:rPr>
          <w:rFonts w:ascii="Times New Roman" w:eastAsia="宋体" w:hAnsi="Times New Roman"/>
          <w:color w:val="auto"/>
          <w:sz w:val="22"/>
          <w:szCs w:val="24"/>
          <w:lang w:eastAsia="en-US" w:bidi="ar-SA"/>
        </w:rPr>
        <w:t>ResCBAM-ViTFSG</w:t>
      </w:r>
      <w:proofErr w:type="spellEnd"/>
      <w:r w:rsidRPr="00C76262">
        <w:rPr>
          <w:rFonts w:ascii="Times New Roman" w:eastAsia="宋体" w:hAnsi="Times New Roman"/>
          <w:color w:val="auto"/>
          <w:sz w:val="22"/>
          <w:szCs w:val="24"/>
          <w:lang w:eastAsia="en-US" w:bidi="ar-SA"/>
        </w:rPr>
        <w:t xml:space="preserve"> model integrates enhanced ResNet18 with the CBAM model to extract the global features, and </w:t>
      </w:r>
      <w:proofErr w:type="spellStart"/>
      <w:r w:rsidRPr="00C76262">
        <w:rPr>
          <w:rFonts w:ascii="Times New Roman" w:eastAsia="宋体" w:hAnsi="Times New Roman"/>
          <w:color w:val="auto"/>
          <w:sz w:val="22"/>
          <w:szCs w:val="24"/>
          <w:lang w:eastAsia="en-US" w:bidi="ar-SA"/>
        </w:rPr>
        <w:t>ViT</w:t>
      </w:r>
      <w:proofErr w:type="spellEnd"/>
      <w:r w:rsidRPr="00C76262">
        <w:rPr>
          <w:rFonts w:ascii="Times New Roman" w:eastAsia="宋体" w:hAnsi="Times New Roman"/>
          <w:color w:val="auto"/>
          <w:sz w:val="22"/>
          <w:szCs w:val="24"/>
          <w:lang w:eastAsia="en-US" w:bidi="ar-SA"/>
        </w:rPr>
        <w:t xml:space="preserve"> with FSG to extract the global features. Then, both features are fused and fed into the Monte Carlo Dropout with the developed UAR-Adam optimizer to reweight the learning rate based on uncertainty captured by dropout to ensure reliable predictions. Finally, the images are fed into the classification head of the ResNet18, which contains a </w:t>
      </w:r>
      <w:r w:rsidRPr="00C76262">
        <w:rPr>
          <w:rFonts w:ascii="Times New Roman" w:eastAsia="宋体" w:hAnsi="Times New Roman"/>
          <w:color w:val="auto"/>
          <w:sz w:val="22"/>
          <w:szCs w:val="24"/>
          <w:lang w:eastAsia="zh-CN" w:bidi="ar-SA"/>
        </w:rPr>
        <w:t>S</w:t>
      </w:r>
      <w:r w:rsidRPr="00C76262">
        <w:rPr>
          <w:rFonts w:ascii="Times New Roman" w:eastAsia="宋体" w:hAnsi="Times New Roman"/>
          <w:color w:val="auto"/>
          <w:sz w:val="22"/>
          <w:szCs w:val="24"/>
          <w:lang w:eastAsia="en-US" w:bidi="ar-SA"/>
        </w:rPr>
        <w:t>oft</w:t>
      </w:r>
      <w:r w:rsidRPr="00C76262">
        <w:rPr>
          <w:rFonts w:ascii="Times New Roman" w:eastAsia="宋体" w:hAnsi="Times New Roman"/>
          <w:color w:val="auto"/>
          <w:sz w:val="22"/>
          <w:szCs w:val="24"/>
          <w:lang w:eastAsia="zh-CN" w:bidi="ar-SA"/>
        </w:rPr>
        <w:t>M</w:t>
      </w:r>
      <w:r w:rsidRPr="00C76262">
        <w:rPr>
          <w:rFonts w:ascii="Times New Roman" w:eastAsia="宋体" w:hAnsi="Times New Roman"/>
          <w:color w:val="auto"/>
          <w:sz w:val="22"/>
          <w:szCs w:val="24"/>
          <w:lang w:eastAsia="en-US" w:bidi="ar-SA"/>
        </w:rPr>
        <w:t>ax layer and a Fully Connected (FC) layer to grade the lung cancer into tumor grades based on their aggressiveness.</w:t>
      </w:r>
    </w:p>
    <w:p w14:paraId="7E3C973F" w14:textId="77777777" w:rsidR="00C76262" w:rsidRPr="00C76262" w:rsidRDefault="00C76262" w:rsidP="00C76262">
      <w:pPr>
        <w:adjustRightInd w:val="0"/>
        <w:snapToGrid w:val="0"/>
        <w:spacing w:before="240" w:after="60" w:line="288" w:lineRule="auto"/>
        <w:ind w:left="2948"/>
        <w:outlineLvl w:val="1"/>
        <w:rPr>
          <w:rFonts w:ascii="Times New Roman" w:eastAsia="宋体" w:hAnsi="Times New Roman" w:cs="Times New Roman"/>
          <w:b/>
          <w:sz w:val="24"/>
          <w:szCs w:val="24"/>
          <w:lang w:val="en-US"/>
        </w:rPr>
      </w:pPr>
      <w:r w:rsidRPr="00C76262">
        <w:rPr>
          <w:rFonts w:ascii="Times New Roman" w:eastAsia="宋体" w:hAnsi="Times New Roman" w:cs="Times New Roman"/>
          <w:b/>
          <w:sz w:val="24"/>
          <w:szCs w:val="24"/>
          <w:lang w:val="ru-RU"/>
        </w:rPr>
        <w:t xml:space="preserve">2.1. Dataset </w:t>
      </w:r>
      <w:r w:rsidRPr="00C76262">
        <w:rPr>
          <w:rFonts w:ascii="Times New Roman" w:eastAsia="宋体" w:hAnsi="Times New Roman" w:cs="Times New Roman"/>
          <w:b/>
          <w:sz w:val="24"/>
          <w:szCs w:val="24"/>
          <w:lang w:val="ru-RU" w:eastAsia="zh-CN"/>
        </w:rPr>
        <w:t>d</w:t>
      </w:r>
      <w:r w:rsidRPr="00C76262">
        <w:rPr>
          <w:rFonts w:ascii="Times New Roman" w:eastAsia="宋体" w:hAnsi="Times New Roman" w:cs="Times New Roman"/>
          <w:b/>
          <w:sz w:val="24"/>
          <w:szCs w:val="24"/>
          <w:lang w:val="ru-RU"/>
        </w:rPr>
        <w:t xml:space="preserve">escription of LungHist700 </w:t>
      </w:r>
      <w:r w:rsidRPr="00C76262">
        <w:rPr>
          <w:rFonts w:ascii="Times New Roman" w:eastAsia="宋体" w:hAnsi="Times New Roman" w:cs="Times New Roman"/>
          <w:b/>
          <w:sz w:val="24"/>
          <w:szCs w:val="24"/>
          <w:lang w:val="ru-RU" w:eastAsia="zh-CN"/>
        </w:rPr>
        <w:t>d</w:t>
      </w:r>
      <w:r w:rsidRPr="00C76262">
        <w:rPr>
          <w:rFonts w:ascii="Times New Roman" w:eastAsia="宋体" w:hAnsi="Times New Roman" w:cs="Times New Roman"/>
          <w:b/>
          <w:sz w:val="24"/>
          <w:szCs w:val="24"/>
          <w:lang w:val="ru-RU"/>
        </w:rPr>
        <w:t>ataset</w:t>
      </w:r>
    </w:p>
    <w:p w14:paraId="758351DB" w14:textId="77777777" w:rsidR="00C76262" w:rsidRPr="00C76262" w:rsidRDefault="00C76262" w:rsidP="00C76262">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The LungHist700 dataset [19] includes the high-resolution lung histopathological images of 691 collected from 45 patients. The dataset contains adenocarcinoma, squamous cell carcinoma, and normal tissues that are split into three different levels based on aggressiveness. The dataset is split into 70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for model training, 20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for validation, and 10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 for testing. </w:t>
      </w:r>
      <w:r w:rsidRPr="00C76262">
        <w:rPr>
          <w:rFonts w:ascii="Times New Roman" w:eastAsia="宋体" w:hAnsi="Times New Roman" w:cs="Times New Roman"/>
          <w:b/>
          <w:bCs/>
          <w:szCs w:val="24"/>
          <w:lang w:val="en-US"/>
        </w:rPr>
        <w:t>Figure 2</w:t>
      </w:r>
      <w:r w:rsidRPr="00C76262">
        <w:rPr>
          <w:rFonts w:ascii="Times New Roman" w:eastAsia="宋体" w:hAnsi="Times New Roman" w:cs="Times New Roman"/>
          <w:szCs w:val="24"/>
          <w:lang w:val="en-US"/>
        </w:rPr>
        <w:t xml:space="preserve"> shows the sample images. In </w:t>
      </w:r>
      <w:r w:rsidRPr="00C76262">
        <w:rPr>
          <w:rFonts w:ascii="Times New Roman" w:eastAsia="宋体" w:hAnsi="Times New Roman" w:cs="Times New Roman"/>
          <w:b/>
          <w:bCs/>
          <w:szCs w:val="24"/>
          <w:lang w:val="en-US"/>
        </w:rPr>
        <w:t>Table 1</w:t>
      </w:r>
      <w:r w:rsidRPr="00C76262">
        <w:rPr>
          <w:rFonts w:ascii="Times New Roman" w:eastAsia="宋体" w:hAnsi="Times New Roman" w:cs="Times New Roman"/>
          <w:szCs w:val="24"/>
          <w:lang w:val="en-US"/>
        </w:rPr>
        <w:t xml:space="preserve">, based on the guidelines of IASLC, lung cancer is graded into three different levels based on the tumor aggressiveness. Grade 1 means a lepidic pattern that has no high-grade features. Grade 2 shows papillary patterns that have less than twenty percentage high-grade features, and </w:t>
      </w:r>
      <w:r w:rsidRPr="00C76262">
        <w:rPr>
          <w:rFonts w:ascii="Times New Roman" w:eastAsia="宋体" w:hAnsi="Times New Roman" w:cs="Times New Roman"/>
          <w:szCs w:val="24"/>
          <w:lang w:val="en-US" w:eastAsia="zh-CN"/>
        </w:rPr>
        <w:t>G</w:t>
      </w:r>
      <w:r w:rsidRPr="00C76262">
        <w:rPr>
          <w:rFonts w:ascii="Times New Roman" w:eastAsia="宋体" w:hAnsi="Times New Roman" w:cs="Times New Roman"/>
          <w:szCs w:val="24"/>
          <w:lang w:val="en-US"/>
        </w:rPr>
        <w:t>rade 3 includes more than 20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high-grade features.</w:t>
      </w:r>
    </w:p>
    <w:p w14:paraId="49E83612" w14:textId="77777777" w:rsidR="00FF2923" w:rsidRPr="00C76262" w:rsidRDefault="00000000">
      <w:pPr>
        <w:adjustRightInd w:val="0"/>
        <w:snapToGrid w:val="0"/>
        <w:spacing w:before="240" w:after="0" w:line="240" w:lineRule="auto"/>
        <w:ind w:left="2948"/>
        <w:jc w:val="center"/>
        <w:rPr>
          <w:rFonts w:ascii="Times New Roman" w:hAnsi="Times New Roman" w:cs="Times New Roman"/>
          <w:sz w:val="20"/>
          <w:szCs w:val="20"/>
        </w:rPr>
      </w:pPr>
      <w:r w:rsidRPr="00C76262">
        <w:rPr>
          <w:rFonts w:ascii="Times New Roman" w:eastAsia="宋体" w:hAnsi="Times New Roman" w:cs="Times New Roman"/>
          <w:noProof/>
          <w:lang w:eastAsia="en-IN"/>
        </w:rPr>
        <w:lastRenderedPageBreak/>
        <w:drawing>
          <wp:inline distT="0" distB="0" distL="0" distR="0" wp14:anchorId="0AD5BA4F" wp14:editId="09FEF21C">
            <wp:extent cx="2895600" cy="2474023"/>
            <wp:effectExtent l="0" t="0" r="0" b="2540"/>
            <wp:docPr id="20616997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99731" name="Graphic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2910394" cy="2486663"/>
                    </a:xfrm>
                    <a:prstGeom prst="rect">
                      <a:avLst/>
                    </a:prstGeom>
                  </pic:spPr>
                </pic:pic>
              </a:graphicData>
            </a:graphic>
          </wp:inline>
        </w:drawing>
      </w:r>
    </w:p>
    <w:p w14:paraId="6C6F1F96" w14:textId="77777777" w:rsidR="00FF2923" w:rsidRPr="00C76262" w:rsidRDefault="00000000">
      <w:pPr>
        <w:widowControl w:val="0"/>
        <w:adjustRightInd w:val="0"/>
        <w:snapToGrid w:val="0"/>
        <w:spacing w:before="60" w:after="240" w:line="288" w:lineRule="auto"/>
        <w:ind w:left="2948"/>
        <w:rPr>
          <w:rFonts w:ascii="Times New Roman" w:eastAsia="Times New Roman" w:hAnsi="Times New Roman" w:cs="Times New Roman"/>
          <w:szCs w:val="18"/>
          <w:lang w:val="en-US"/>
        </w:rPr>
      </w:pPr>
      <w:r w:rsidRPr="00C76262">
        <w:rPr>
          <w:rFonts w:ascii="Times New Roman" w:eastAsia="Times New Roman" w:hAnsi="Times New Roman" w:cs="Times New Roman"/>
          <w:b/>
          <w:bCs/>
          <w:szCs w:val="18"/>
          <w:lang w:val="ru-RU"/>
        </w:rPr>
        <w:t>Figure 1.</w:t>
      </w:r>
      <w:r w:rsidRPr="00C76262">
        <w:rPr>
          <w:rFonts w:ascii="Times New Roman" w:eastAsia="Times New Roman" w:hAnsi="Times New Roman" w:cs="Times New Roman"/>
          <w:szCs w:val="18"/>
          <w:lang w:val="ru-RU"/>
        </w:rPr>
        <w:t xml:space="preserve"> Schematic diagram of the proposed hybrid attention-based deep learning framework for lung cancer grading</w:t>
      </w:r>
      <w:r w:rsidRPr="00C76262">
        <w:rPr>
          <w:rFonts w:ascii="Times New Roman" w:eastAsia="Times New Roman" w:hAnsi="Times New Roman" w:cs="Times New Roman"/>
          <w:szCs w:val="18"/>
          <w:lang w:val="en-US"/>
        </w:rPr>
        <w:t>.</w:t>
      </w:r>
    </w:p>
    <w:p w14:paraId="7E1BAF88" w14:textId="77777777" w:rsidR="00FF2923" w:rsidRPr="00C76262" w:rsidRDefault="00000000" w:rsidP="00C76262">
      <w:pPr>
        <w:adjustRightInd w:val="0"/>
        <w:snapToGrid w:val="0"/>
        <w:spacing w:before="240" w:after="0" w:line="240" w:lineRule="auto"/>
        <w:ind w:left="2948"/>
        <w:jc w:val="center"/>
        <w:rPr>
          <w:rFonts w:ascii="Times New Roman" w:hAnsi="Times New Roman" w:cs="Times New Roman"/>
          <w:sz w:val="20"/>
          <w:szCs w:val="20"/>
        </w:rPr>
      </w:pPr>
      <w:r w:rsidRPr="00C76262">
        <w:rPr>
          <w:rFonts w:ascii="Times New Roman" w:eastAsia="宋体" w:hAnsi="Times New Roman" w:cs="Times New Roman"/>
          <w:noProof/>
          <w:lang w:eastAsia="en-IN"/>
        </w:rPr>
        <w:drawing>
          <wp:inline distT="0" distB="0" distL="0" distR="0" wp14:anchorId="4459216C" wp14:editId="1D3CAA0E">
            <wp:extent cx="2809875" cy="2016908"/>
            <wp:effectExtent l="0" t="0" r="0" b="2540"/>
            <wp:docPr id="13506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1865" name="Picture 1"/>
                    <pic:cNvPicPr>
                      <a:picLocks noChangeAspect="1"/>
                    </pic:cNvPicPr>
                  </pic:nvPicPr>
                  <pic:blipFill>
                    <a:blip r:embed="rId11"/>
                    <a:srcRect l="1295" t="1174" r="1813" b="2932"/>
                    <a:stretch>
                      <a:fillRect/>
                    </a:stretch>
                  </pic:blipFill>
                  <pic:spPr>
                    <a:xfrm>
                      <a:off x="0" y="0"/>
                      <a:ext cx="2880079" cy="2067300"/>
                    </a:xfrm>
                    <a:prstGeom prst="rect">
                      <a:avLst/>
                    </a:prstGeom>
                    <a:ln>
                      <a:noFill/>
                    </a:ln>
                  </pic:spPr>
                </pic:pic>
              </a:graphicData>
            </a:graphic>
          </wp:inline>
        </w:drawing>
      </w:r>
    </w:p>
    <w:p w14:paraId="0729DFEF" w14:textId="77777777" w:rsidR="00FF2923" w:rsidRPr="00C76262" w:rsidRDefault="00000000">
      <w:pPr>
        <w:widowControl w:val="0"/>
        <w:adjustRightInd w:val="0"/>
        <w:snapToGrid w:val="0"/>
        <w:spacing w:before="60" w:after="240" w:line="288" w:lineRule="auto"/>
        <w:ind w:left="2948"/>
        <w:rPr>
          <w:rFonts w:ascii="Times New Roman" w:eastAsia="Times New Roman" w:hAnsi="Times New Roman" w:cs="Times New Roman"/>
          <w:szCs w:val="18"/>
          <w:lang w:val="en-US"/>
        </w:rPr>
      </w:pPr>
      <w:r w:rsidRPr="00C76262">
        <w:rPr>
          <w:rFonts w:ascii="Times New Roman" w:eastAsia="Times New Roman" w:hAnsi="Times New Roman" w:cs="Times New Roman"/>
          <w:b/>
          <w:bCs/>
          <w:szCs w:val="18"/>
          <w:lang w:val="ru-RU"/>
        </w:rPr>
        <w:t>Figure 2.</w:t>
      </w:r>
      <w:r w:rsidRPr="00C76262">
        <w:rPr>
          <w:rFonts w:ascii="Times New Roman" w:eastAsia="Times New Roman" w:hAnsi="Times New Roman" w:cs="Times New Roman"/>
          <w:szCs w:val="18"/>
          <w:lang w:val="ru-RU"/>
        </w:rPr>
        <w:t xml:space="preserve"> Sample images from the LungHist700 dataset. The first row indicates the ADC with different tumor differentiation, and the second row represents the LUSC with different tumor differentiation. The last row indicates the normal lung tissue images.</w:t>
      </w:r>
    </w:p>
    <w:p w14:paraId="6C807A1C" w14:textId="77777777" w:rsidR="00FF2923" w:rsidRPr="00C76262" w:rsidRDefault="00000000">
      <w:pPr>
        <w:adjustRightInd w:val="0"/>
        <w:snapToGrid w:val="0"/>
        <w:spacing w:before="240" w:after="60" w:line="288" w:lineRule="auto"/>
        <w:ind w:left="2948"/>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1. </w:t>
      </w:r>
      <w:r w:rsidRPr="00C76262">
        <w:rPr>
          <w:rFonts w:ascii="Times New Roman" w:eastAsia="宋体" w:hAnsi="Times New Roman" w:cs="Times New Roman"/>
          <w:lang w:val="ru-RU"/>
        </w:rPr>
        <w:t>Categorization of malignant tumors based on their aggressiveness</w:t>
      </w:r>
      <w:r w:rsidRPr="00C76262">
        <w:rPr>
          <w:rFonts w:ascii="Times New Roman" w:eastAsia="宋体" w:hAnsi="Times New Roman" w:cs="Times New Roman"/>
          <w:lang w:val="en-US"/>
        </w:rPr>
        <w:t>.</w:t>
      </w:r>
    </w:p>
    <w:tbl>
      <w:tblPr>
        <w:tblStyle w:val="af2"/>
        <w:tblW w:w="0" w:type="auto"/>
        <w:jc w:val="righ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418"/>
        <w:gridCol w:w="1417"/>
        <w:gridCol w:w="1495"/>
        <w:gridCol w:w="1553"/>
        <w:gridCol w:w="1652"/>
      </w:tblGrid>
      <w:tr w:rsidR="00FF2923" w:rsidRPr="00C76262" w14:paraId="484D6252" w14:textId="77777777">
        <w:trPr>
          <w:trHeight w:val="312"/>
          <w:jc w:val="right"/>
        </w:trPr>
        <w:tc>
          <w:tcPr>
            <w:tcW w:w="1418" w:type="dxa"/>
            <w:tcBorders>
              <w:top w:val="single" w:sz="8" w:space="0" w:color="auto"/>
              <w:bottom w:val="single" w:sz="4" w:space="0" w:color="auto"/>
            </w:tcBorders>
          </w:tcPr>
          <w:p w14:paraId="17D97D69"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ru-RU"/>
              </w:rPr>
            </w:pPr>
            <w:r w:rsidRPr="00C76262">
              <w:rPr>
                <w:rFonts w:ascii="Times New Roman" w:eastAsia="宋体" w:hAnsi="Times New Roman" w:cs="Times New Roman"/>
                <w:b/>
                <w:sz w:val="18"/>
                <w:szCs w:val="18"/>
                <w:lang w:val="ru-RU"/>
              </w:rPr>
              <w:t>Description</w:t>
            </w:r>
          </w:p>
        </w:tc>
        <w:tc>
          <w:tcPr>
            <w:tcW w:w="1417" w:type="dxa"/>
            <w:tcBorders>
              <w:top w:val="single" w:sz="8" w:space="0" w:color="auto"/>
              <w:bottom w:val="single" w:sz="4" w:space="0" w:color="auto"/>
            </w:tcBorders>
          </w:tcPr>
          <w:p w14:paraId="0DACD4BA"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sz w:val="18"/>
                <w:szCs w:val="18"/>
                <w:lang w:val="en-US"/>
              </w:rPr>
              <w:t>T</w:t>
            </w:r>
            <w:r w:rsidRPr="00C76262">
              <w:rPr>
                <w:rFonts w:ascii="Times New Roman" w:eastAsia="宋体" w:hAnsi="Times New Roman" w:cs="Times New Roman"/>
                <w:b/>
                <w:sz w:val="18"/>
                <w:szCs w:val="18"/>
                <w:lang w:val="ru-RU"/>
              </w:rPr>
              <w:t>otal</w:t>
            </w:r>
            <w:r w:rsidRPr="00C76262">
              <w:rPr>
                <w:rFonts w:ascii="Times New Roman" w:eastAsia="宋体" w:hAnsi="Times New Roman" w:cs="Times New Roman"/>
                <w:b/>
                <w:sz w:val="18"/>
                <w:szCs w:val="18"/>
                <w:lang w:val="en-US"/>
              </w:rPr>
              <w:t xml:space="preserve"> samples</w:t>
            </w:r>
          </w:p>
        </w:tc>
        <w:tc>
          <w:tcPr>
            <w:tcW w:w="1495" w:type="dxa"/>
            <w:tcBorders>
              <w:top w:val="single" w:sz="8" w:space="0" w:color="auto"/>
              <w:bottom w:val="single" w:sz="4" w:space="0" w:color="auto"/>
            </w:tcBorders>
          </w:tcPr>
          <w:p w14:paraId="3A69A429"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sz w:val="18"/>
                <w:szCs w:val="18"/>
                <w:lang w:val="en-US"/>
              </w:rPr>
              <w:t>Training samples (70</w:t>
            </w:r>
            <w:r w:rsidRPr="00C76262">
              <w:rPr>
                <w:rFonts w:ascii="Times New Roman" w:eastAsia="宋体" w:hAnsi="Times New Roman" w:cs="Times New Roman"/>
                <w:b/>
                <w:sz w:val="18"/>
                <w:szCs w:val="18"/>
                <w:lang w:val="en-US" w:eastAsia="zh-CN"/>
              </w:rPr>
              <w:t xml:space="preserve"> </w:t>
            </w:r>
            <w:r w:rsidRPr="00C76262">
              <w:rPr>
                <w:rFonts w:ascii="Times New Roman" w:eastAsia="宋体" w:hAnsi="Times New Roman" w:cs="Times New Roman"/>
                <w:b/>
                <w:sz w:val="18"/>
                <w:szCs w:val="18"/>
                <w:lang w:val="en-US"/>
              </w:rPr>
              <w:t>%)</w:t>
            </w:r>
          </w:p>
        </w:tc>
        <w:tc>
          <w:tcPr>
            <w:tcW w:w="1553" w:type="dxa"/>
            <w:tcBorders>
              <w:top w:val="single" w:sz="8" w:space="0" w:color="auto"/>
              <w:bottom w:val="single" w:sz="4" w:space="0" w:color="auto"/>
            </w:tcBorders>
          </w:tcPr>
          <w:p w14:paraId="01CB8267"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sz w:val="18"/>
                <w:szCs w:val="18"/>
                <w:lang w:val="en-US"/>
              </w:rPr>
              <w:t>Validation samples (20</w:t>
            </w:r>
            <w:r w:rsidRPr="00C76262">
              <w:rPr>
                <w:rFonts w:ascii="Times New Roman" w:eastAsia="宋体" w:hAnsi="Times New Roman" w:cs="Times New Roman"/>
                <w:b/>
                <w:sz w:val="18"/>
                <w:szCs w:val="18"/>
                <w:lang w:val="en-US" w:eastAsia="zh-CN"/>
              </w:rPr>
              <w:t xml:space="preserve"> </w:t>
            </w:r>
            <w:r w:rsidRPr="00C76262">
              <w:rPr>
                <w:rFonts w:ascii="Times New Roman" w:eastAsia="宋体" w:hAnsi="Times New Roman" w:cs="Times New Roman"/>
                <w:b/>
                <w:sz w:val="18"/>
                <w:szCs w:val="18"/>
                <w:lang w:val="en-US"/>
              </w:rPr>
              <w:t>%)</w:t>
            </w:r>
          </w:p>
        </w:tc>
        <w:tc>
          <w:tcPr>
            <w:tcW w:w="1652" w:type="dxa"/>
            <w:tcBorders>
              <w:top w:val="single" w:sz="8" w:space="0" w:color="auto"/>
              <w:bottom w:val="single" w:sz="4" w:space="0" w:color="auto"/>
            </w:tcBorders>
          </w:tcPr>
          <w:p w14:paraId="77566429"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sz w:val="18"/>
                <w:szCs w:val="18"/>
                <w:lang w:val="en-US"/>
              </w:rPr>
              <w:t>Testing samples (10</w:t>
            </w:r>
            <w:r w:rsidRPr="00C76262">
              <w:rPr>
                <w:rFonts w:ascii="Times New Roman" w:eastAsia="宋体" w:hAnsi="Times New Roman" w:cs="Times New Roman"/>
                <w:b/>
                <w:sz w:val="18"/>
                <w:szCs w:val="18"/>
                <w:lang w:val="en-US" w:eastAsia="zh-CN"/>
              </w:rPr>
              <w:t xml:space="preserve"> </w:t>
            </w:r>
            <w:r w:rsidRPr="00C76262">
              <w:rPr>
                <w:rFonts w:ascii="Times New Roman" w:eastAsia="宋体" w:hAnsi="Times New Roman" w:cs="Times New Roman"/>
                <w:b/>
                <w:sz w:val="18"/>
                <w:szCs w:val="18"/>
                <w:lang w:val="en-US"/>
              </w:rPr>
              <w:t>%)</w:t>
            </w:r>
          </w:p>
        </w:tc>
      </w:tr>
      <w:tr w:rsidR="00FF2923" w:rsidRPr="00C76262" w14:paraId="2DC33916" w14:textId="77777777">
        <w:trPr>
          <w:trHeight w:val="312"/>
          <w:jc w:val="right"/>
        </w:trPr>
        <w:tc>
          <w:tcPr>
            <w:tcW w:w="1418" w:type="dxa"/>
            <w:tcBorders>
              <w:top w:val="single" w:sz="4" w:space="0" w:color="auto"/>
            </w:tcBorders>
          </w:tcPr>
          <w:p w14:paraId="5BC1C41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ADC grade 1</w:t>
            </w:r>
          </w:p>
        </w:tc>
        <w:tc>
          <w:tcPr>
            <w:tcW w:w="1417" w:type="dxa"/>
            <w:tcBorders>
              <w:top w:val="single" w:sz="4" w:space="0" w:color="auto"/>
            </w:tcBorders>
          </w:tcPr>
          <w:p w14:paraId="338BD00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103</w:t>
            </w:r>
          </w:p>
        </w:tc>
        <w:tc>
          <w:tcPr>
            <w:tcW w:w="1495" w:type="dxa"/>
            <w:tcBorders>
              <w:top w:val="single" w:sz="4" w:space="0" w:color="auto"/>
            </w:tcBorders>
          </w:tcPr>
          <w:p w14:paraId="15B8DFE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72</w:t>
            </w:r>
          </w:p>
        </w:tc>
        <w:tc>
          <w:tcPr>
            <w:tcW w:w="1553" w:type="dxa"/>
            <w:tcBorders>
              <w:top w:val="single" w:sz="4" w:space="0" w:color="auto"/>
            </w:tcBorders>
          </w:tcPr>
          <w:p w14:paraId="7071A92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21</w:t>
            </w:r>
          </w:p>
        </w:tc>
        <w:tc>
          <w:tcPr>
            <w:tcW w:w="1652" w:type="dxa"/>
            <w:tcBorders>
              <w:top w:val="single" w:sz="4" w:space="0" w:color="auto"/>
            </w:tcBorders>
          </w:tcPr>
          <w:p w14:paraId="53743FD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10</w:t>
            </w:r>
          </w:p>
        </w:tc>
      </w:tr>
      <w:tr w:rsidR="00FF2923" w:rsidRPr="00C76262" w14:paraId="3529B010" w14:textId="77777777">
        <w:trPr>
          <w:trHeight w:val="331"/>
          <w:jc w:val="right"/>
        </w:trPr>
        <w:tc>
          <w:tcPr>
            <w:tcW w:w="1418" w:type="dxa"/>
          </w:tcPr>
          <w:p w14:paraId="3571CA20"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ADC grade 2</w:t>
            </w:r>
          </w:p>
        </w:tc>
        <w:tc>
          <w:tcPr>
            <w:tcW w:w="1417" w:type="dxa"/>
          </w:tcPr>
          <w:p w14:paraId="6963EBE3"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90</w:t>
            </w:r>
          </w:p>
        </w:tc>
        <w:tc>
          <w:tcPr>
            <w:tcW w:w="1495" w:type="dxa"/>
          </w:tcPr>
          <w:p w14:paraId="395D617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63</w:t>
            </w:r>
          </w:p>
        </w:tc>
        <w:tc>
          <w:tcPr>
            <w:tcW w:w="1553" w:type="dxa"/>
          </w:tcPr>
          <w:p w14:paraId="4E720C8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18</w:t>
            </w:r>
          </w:p>
        </w:tc>
        <w:tc>
          <w:tcPr>
            <w:tcW w:w="1652" w:type="dxa"/>
          </w:tcPr>
          <w:p w14:paraId="08580E4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9</w:t>
            </w:r>
          </w:p>
        </w:tc>
      </w:tr>
      <w:tr w:rsidR="00FF2923" w:rsidRPr="00C76262" w14:paraId="2F985D63" w14:textId="77777777">
        <w:trPr>
          <w:trHeight w:val="312"/>
          <w:jc w:val="right"/>
        </w:trPr>
        <w:tc>
          <w:tcPr>
            <w:tcW w:w="1418" w:type="dxa"/>
          </w:tcPr>
          <w:p w14:paraId="1B54149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ADC grade 3</w:t>
            </w:r>
          </w:p>
        </w:tc>
        <w:tc>
          <w:tcPr>
            <w:tcW w:w="1417" w:type="dxa"/>
          </w:tcPr>
          <w:p w14:paraId="03A73A0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87</w:t>
            </w:r>
          </w:p>
        </w:tc>
        <w:tc>
          <w:tcPr>
            <w:tcW w:w="1495" w:type="dxa"/>
          </w:tcPr>
          <w:p w14:paraId="4169EF77"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61</w:t>
            </w:r>
          </w:p>
        </w:tc>
        <w:tc>
          <w:tcPr>
            <w:tcW w:w="1553" w:type="dxa"/>
          </w:tcPr>
          <w:p w14:paraId="181488A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17</w:t>
            </w:r>
          </w:p>
        </w:tc>
        <w:tc>
          <w:tcPr>
            <w:tcW w:w="1652" w:type="dxa"/>
          </w:tcPr>
          <w:p w14:paraId="66CBB2D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9</w:t>
            </w:r>
          </w:p>
        </w:tc>
      </w:tr>
      <w:tr w:rsidR="00FF2923" w:rsidRPr="00C76262" w14:paraId="6551BC63" w14:textId="77777777">
        <w:trPr>
          <w:trHeight w:val="312"/>
          <w:jc w:val="right"/>
        </w:trPr>
        <w:tc>
          <w:tcPr>
            <w:tcW w:w="1418" w:type="dxa"/>
          </w:tcPr>
          <w:p w14:paraId="034367CD"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LUSC grade 1</w:t>
            </w:r>
          </w:p>
        </w:tc>
        <w:tc>
          <w:tcPr>
            <w:tcW w:w="1417" w:type="dxa"/>
          </w:tcPr>
          <w:p w14:paraId="4BF1C5DD"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50</w:t>
            </w:r>
          </w:p>
        </w:tc>
        <w:tc>
          <w:tcPr>
            <w:tcW w:w="1495" w:type="dxa"/>
          </w:tcPr>
          <w:p w14:paraId="15409771"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35</w:t>
            </w:r>
          </w:p>
        </w:tc>
        <w:tc>
          <w:tcPr>
            <w:tcW w:w="1553" w:type="dxa"/>
          </w:tcPr>
          <w:p w14:paraId="69FE809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10</w:t>
            </w:r>
          </w:p>
        </w:tc>
        <w:tc>
          <w:tcPr>
            <w:tcW w:w="1652" w:type="dxa"/>
          </w:tcPr>
          <w:p w14:paraId="6398506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5</w:t>
            </w:r>
          </w:p>
        </w:tc>
      </w:tr>
      <w:tr w:rsidR="00FF2923" w:rsidRPr="00C76262" w14:paraId="34D16C0A" w14:textId="77777777">
        <w:trPr>
          <w:trHeight w:val="312"/>
          <w:jc w:val="right"/>
        </w:trPr>
        <w:tc>
          <w:tcPr>
            <w:tcW w:w="1418" w:type="dxa"/>
          </w:tcPr>
          <w:p w14:paraId="0BB4FF8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LUSC grade 2</w:t>
            </w:r>
          </w:p>
        </w:tc>
        <w:tc>
          <w:tcPr>
            <w:tcW w:w="1417" w:type="dxa"/>
          </w:tcPr>
          <w:p w14:paraId="39BC990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30</w:t>
            </w:r>
          </w:p>
        </w:tc>
        <w:tc>
          <w:tcPr>
            <w:tcW w:w="1495" w:type="dxa"/>
          </w:tcPr>
          <w:p w14:paraId="13480627"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21</w:t>
            </w:r>
          </w:p>
        </w:tc>
        <w:tc>
          <w:tcPr>
            <w:tcW w:w="1553" w:type="dxa"/>
          </w:tcPr>
          <w:p w14:paraId="4D20C0C3"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6</w:t>
            </w:r>
          </w:p>
        </w:tc>
        <w:tc>
          <w:tcPr>
            <w:tcW w:w="1652" w:type="dxa"/>
          </w:tcPr>
          <w:p w14:paraId="7C8FD453"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3</w:t>
            </w:r>
          </w:p>
        </w:tc>
      </w:tr>
      <w:tr w:rsidR="00FF2923" w:rsidRPr="00C76262" w14:paraId="1C1903FD" w14:textId="77777777">
        <w:trPr>
          <w:trHeight w:val="312"/>
          <w:jc w:val="right"/>
        </w:trPr>
        <w:tc>
          <w:tcPr>
            <w:tcW w:w="1418" w:type="dxa"/>
          </w:tcPr>
          <w:p w14:paraId="612A871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LUSC grade 3</w:t>
            </w:r>
          </w:p>
        </w:tc>
        <w:tc>
          <w:tcPr>
            <w:tcW w:w="1417" w:type="dxa"/>
          </w:tcPr>
          <w:p w14:paraId="378D2D76"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48</w:t>
            </w:r>
          </w:p>
        </w:tc>
        <w:tc>
          <w:tcPr>
            <w:tcW w:w="1495" w:type="dxa"/>
          </w:tcPr>
          <w:p w14:paraId="3E15D2D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34</w:t>
            </w:r>
          </w:p>
        </w:tc>
        <w:tc>
          <w:tcPr>
            <w:tcW w:w="1553" w:type="dxa"/>
          </w:tcPr>
          <w:p w14:paraId="6647880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9</w:t>
            </w:r>
          </w:p>
        </w:tc>
        <w:tc>
          <w:tcPr>
            <w:tcW w:w="1652" w:type="dxa"/>
          </w:tcPr>
          <w:p w14:paraId="613A7EA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5</w:t>
            </w:r>
          </w:p>
        </w:tc>
      </w:tr>
      <w:tr w:rsidR="00FF2923" w:rsidRPr="00C76262" w14:paraId="0857DC01" w14:textId="77777777">
        <w:trPr>
          <w:trHeight w:val="331"/>
          <w:jc w:val="right"/>
        </w:trPr>
        <w:tc>
          <w:tcPr>
            <w:tcW w:w="1418" w:type="dxa"/>
          </w:tcPr>
          <w:p w14:paraId="06BAD36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Normal</w:t>
            </w:r>
          </w:p>
        </w:tc>
        <w:tc>
          <w:tcPr>
            <w:tcW w:w="1417" w:type="dxa"/>
          </w:tcPr>
          <w:p w14:paraId="484D161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151</w:t>
            </w:r>
          </w:p>
        </w:tc>
        <w:tc>
          <w:tcPr>
            <w:tcW w:w="1495" w:type="dxa"/>
          </w:tcPr>
          <w:p w14:paraId="50558457"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106</w:t>
            </w:r>
          </w:p>
        </w:tc>
        <w:tc>
          <w:tcPr>
            <w:tcW w:w="1553" w:type="dxa"/>
          </w:tcPr>
          <w:p w14:paraId="7BC2CD7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30</w:t>
            </w:r>
          </w:p>
        </w:tc>
        <w:tc>
          <w:tcPr>
            <w:tcW w:w="1652" w:type="dxa"/>
          </w:tcPr>
          <w:p w14:paraId="7B51B34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hAnsi="Times New Roman" w:cs="Times New Roman"/>
                <w:sz w:val="18"/>
                <w:szCs w:val="18"/>
                <w:lang w:val="en-US"/>
              </w:rPr>
              <w:t>15</w:t>
            </w:r>
          </w:p>
        </w:tc>
      </w:tr>
      <w:tr w:rsidR="00FF2923" w:rsidRPr="00C76262" w14:paraId="79361324" w14:textId="77777777">
        <w:trPr>
          <w:trHeight w:val="312"/>
          <w:jc w:val="right"/>
        </w:trPr>
        <w:tc>
          <w:tcPr>
            <w:tcW w:w="1418" w:type="dxa"/>
          </w:tcPr>
          <w:p w14:paraId="2D9FB5C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Total</w:t>
            </w:r>
          </w:p>
        </w:tc>
        <w:tc>
          <w:tcPr>
            <w:tcW w:w="1417" w:type="dxa"/>
          </w:tcPr>
          <w:p w14:paraId="630E767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691</w:t>
            </w:r>
          </w:p>
        </w:tc>
        <w:tc>
          <w:tcPr>
            <w:tcW w:w="1495" w:type="dxa"/>
          </w:tcPr>
          <w:p w14:paraId="3CE3191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hAnsi="Times New Roman" w:cs="Times New Roman"/>
                <w:sz w:val="18"/>
                <w:szCs w:val="18"/>
                <w:lang w:val="en-US"/>
              </w:rPr>
              <w:t>484</w:t>
            </w:r>
          </w:p>
        </w:tc>
        <w:tc>
          <w:tcPr>
            <w:tcW w:w="1553" w:type="dxa"/>
          </w:tcPr>
          <w:p w14:paraId="6F460568"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hAnsi="Times New Roman" w:cs="Times New Roman"/>
                <w:sz w:val="18"/>
                <w:szCs w:val="18"/>
                <w:lang w:val="en-US"/>
              </w:rPr>
              <w:t>111</w:t>
            </w:r>
          </w:p>
        </w:tc>
        <w:tc>
          <w:tcPr>
            <w:tcW w:w="1652" w:type="dxa"/>
          </w:tcPr>
          <w:p w14:paraId="6C4A4B4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hAnsi="Times New Roman" w:cs="Times New Roman"/>
                <w:sz w:val="18"/>
                <w:szCs w:val="18"/>
                <w:lang w:val="en-US"/>
              </w:rPr>
              <w:t>56</w:t>
            </w:r>
          </w:p>
        </w:tc>
      </w:tr>
    </w:tbl>
    <w:p w14:paraId="2A894923"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lastRenderedPageBreak/>
        <w:t>2.2. Histopathological image preprocessing</w:t>
      </w:r>
    </w:p>
    <w:p w14:paraId="6FC77D55" w14:textId="77777777" w:rsidR="00FF2923" w:rsidRPr="00C76262" w:rsidRDefault="00000000">
      <w:pPr>
        <w:widowControl w:val="0"/>
        <w:adjustRightInd w:val="0"/>
        <w:snapToGrid w:val="0"/>
        <w:spacing w:after="0" w:line="288" w:lineRule="auto"/>
        <w:ind w:left="2948" w:firstLine="420"/>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The LungHist700 histopathological images undergo a preprocessing phase, including resizing and color normalization to normalize the input data. Resizing is used to adjust images in a constant dimension for effective model training. The input images are resized into a 224</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224-dimension pixels, aligning with the proposed model’s requirements. Then, the image is applied to the color normalization to improve the image features. For color normalization, the Macenko method [20] is utilized to convert the color space of the image to a new color space, which splits the stain from the non-stain information. </w:t>
      </w:r>
      <w:r w:rsidRPr="00C76262">
        <w:rPr>
          <w:rFonts w:ascii="Times New Roman" w:hAnsi="Times New Roman" w:cs="Times New Roman"/>
        </w:rPr>
        <w:t>This normalization process effectively reduces inter-slide staining variability caused by differences in tissue preparation, staining protocols, and scanning conditions across histopathological slides. Macenko normalization standardizes the chromatic profiles of the images, ensuring consistent colo</w:t>
      </w:r>
      <w:r w:rsidRPr="00C76262">
        <w:rPr>
          <w:rFonts w:ascii="Times New Roman" w:eastAsiaTheme="minorEastAsia" w:hAnsi="Times New Roman" w:cs="Times New Roman"/>
          <w:lang w:eastAsia="zh-CN"/>
        </w:rPr>
        <w:t>u</w:t>
      </w:r>
      <w:r w:rsidRPr="00C76262">
        <w:rPr>
          <w:rFonts w:ascii="Times New Roman" w:hAnsi="Times New Roman" w:cs="Times New Roman"/>
        </w:rPr>
        <w:t xml:space="preserve">r distributions and improving the robustness of feature extraction during model training. </w:t>
      </w:r>
      <w:r w:rsidRPr="00C76262">
        <w:rPr>
          <w:rFonts w:ascii="Times New Roman" w:eastAsia="宋体" w:hAnsi="Times New Roman" w:cs="Times New Roman"/>
          <w:szCs w:val="24"/>
          <w:lang w:val="en-US"/>
        </w:rPr>
        <w:t>Then, data augmentation is performed to enhance the diversity of the dataset by flipping and rotating the histopathological images. The preprocessed histopathological image is shown in</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b/>
          <w:bCs/>
          <w:szCs w:val="24"/>
          <w:lang w:val="en-US" w:eastAsia="zh-CN"/>
        </w:rPr>
        <w:t>Table</w:t>
      </w:r>
      <w:r w:rsidRPr="00C76262">
        <w:rPr>
          <w:rFonts w:ascii="Times New Roman" w:eastAsia="宋体" w:hAnsi="Times New Roman" w:cs="Times New Roman"/>
          <w:b/>
          <w:bCs/>
          <w:szCs w:val="24"/>
          <w:lang w:val="en-US"/>
        </w:rPr>
        <w:t xml:space="preserve"> </w:t>
      </w:r>
      <w:r w:rsidRPr="00C76262">
        <w:rPr>
          <w:rFonts w:ascii="Times New Roman" w:eastAsia="宋体" w:hAnsi="Times New Roman" w:cs="Times New Roman"/>
          <w:b/>
          <w:bCs/>
          <w:szCs w:val="24"/>
          <w:lang w:val="en-US" w:eastAsia="zh-CN"/>
        </w:rPr>
        <w:t>2</w:t>
      </w:r>
      <w:r w:rsidRPr="00C76262">
        <w:rPr>
          <w:rFonts w:ascii="Times New Roman" w:eastAsia="宋体" w:hAnsi="Times New Roman" w:cs="Times New Roman"/>
          <w:szCs w:val="24"/>
          <w:lang w:val="en-US"/>
        </w:rPr>
        <w:t>.</w:t>
      </w:r>
    </w:p>
    <w:p w14:paraId="532019DE" w14:textId="77777777" w:rsidR="00FF2923" w:rsidRPr="00C76262" w:rsidRDefault="00000000">
      <w:pPr>
        <w:widowControl w:val="0"/>
        <w:adjustRightInd w:val="0"/>
        <w:snapToGrid w:val="0"/>
        <w:spacing w:before="240" w:after="60" w:line="288" w:lineRule="auto"/>
        <w:jc w:val="center"/>
        <w:rPr>
          <w:rFonts w:ascii="Times New Roman" w:eastAsia="宋体" w:hAnsi="Times New Roman" w:cs="Times New Roman"/>
          <w:szCs w:val="24"/>
          <w:lang w:val="en-US"/>
        </w:rPr>
      </w:pPr>
      <w:r w:rsidRPr="00C76262">
        <w:rPr>
          <w:rFonts w:ascii="Times New Roman" w:eastAsia="宋体" w:hAnsi="Times New Roman" w:cs="Times New Roman"/>
          <w:b/>
          <w:bCs/>
          <w:lang w:val="ru-RU" w:eastAsia="zh-CN"/>
        </w:rPr>
        <w:t>Table 2</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Preprocessed images of adenocarcinoma, normal, and squamous cell carcinoma lung tissues.</w:t>
      </w:r>
    </w:p>
    <w:tbl>
      <w:tblPr>
        <w:tblStyle w:val="af2"/>
        <w:tblW w:w="0" w:type="auto"/>
        <w:jc w:val="righ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560"/>
        <w:gridCol w:w="2976"/>
        <w:gridCol w:w="2835"/>
        <w:gridCol w:w="2907"/>
      </w:tblGrid>
      <w:tr w:rsidR="00FF2923" w:rsidRPr="00C76262" w14:paraId="0C42E892" w14:textId="77777777">
        <w:trPr>
          <w:trHeight w:val="312"/>
          <w:jc w:val="right"/>
        </w:trPr>
        <w:tc>
          <w:tcPr>
            <w:tcW w:w="1560" w:type="dxa"/>
            <w:tcBorders>
              <w:top w:val="single" w:sz="8" w:space="0" w:color="auto"/>
              <w:bottom w:val="single" w:sz="4" w:space="0" w:color="auto"/>
            </w:tcBorders>
          </w:tcPr>
          <w:p w14:paraId="118D3A62" w14:textId="77777777" w:rsidR="00FF2923" w:rsidRPr="00C76262" w:rsidRDefault="00FF2923">
            <w:pPr>
              <w:adjustRightInd w:val="0"/>
              <w:snapToGrid w:val="0"/>
              <w:spacing w:after="0" w:line="240" w:lineRule="auto"/>
              <w:rPr>
                <w:rFonts w:ascii="Times New Roman" w:eastAsia="宋体" w:hAnsi="Times New Roman" w:cs="Times New Roman"/>
                <w:b/>
                <w:sz w:val="18"/>
                <w:szCs w:val="18"/>
                <w:lang w:val="ru-RU"/>
              </w:rPr>
            </w:pPr>
          </w:p>
        </w:tc>
        <w:tc>
          <w:tcPr>
            <w:tcW w:w="2976" w:type="dxa"/>
            <w:tcBorders>
              <w:top w:val="single" w:sz="8" w:space="0" w:color="auto"/>
              <w:bottom w:val="single" w:sz="4" w:space="0" w:color="auto"/>
            </w:tcBorders>
          </w:tcPr>
          <w:p w14:paraId="7205882E"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hAnsi="Times New Roman" w:cs="Times New Roman"/>
                <w:b/>
                <w:bCs/>
                <w:sz w:val="18"/>
                <w:szCs w:val="18"/>
                <w:lang w:val="en-US"/>
                <w14:ligatures w14:val="standardContextual"/>
              </w:rPr>
              <w:t>ADC</w:t>
            </w:r>
          </w:p>
        </w:tc>
        <w:tc>
          <w:tcPr>
            <w:tcW w:w="2835" w:type="dxa"/>
            <w:tcBorders>
              <w:top w:val="single" w:sz="8" w:space="0" w:color="auto"/>
              <w:bottom w:val="single" w:sz="4" w:space="0" w:color="auto"/>
            </w:tcBorders>
          </w:tcPr>
          <w:p w14:paraId="594650F5"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hAnsi="Times New Roman" w:cs="Times New Roman"/>
                <w:b/>
                <w:bCs/>
                <w:sz w:val="18"/>
                <w:szCs w:val="18"/>
                <w:lang w:val="en-US"/>
                <w14:ligatures w14:val="standardContextual"/>
              </w:rPr>
              <w:t>Normal</w:t>
            </w:r>
          </w:p>
        </w:tc>
        <w:tc>
          <w:tcPr>
            <w:tcW w:w="2907" w:type="dxa"/>
            <w:tcBorders>
              <w:top w:val="single" w:sz="8" w:space="0" w:color="auto"/>
              <w:bottom w:val="single" w:sz="4" w:space="0" w:color="auto"/>
            </w:tcBorders>
          </w:tcPr>
          <w:p w14:paraId="799CB7C5"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hAnsi="Times New Roman" w:cs="Times New Roman"/>
                <w:b/>
                <w:bCs/>
                <w:sz w:val="18"/>
                <w:szCs w:val="18"/>
                <w:lang w:val="en-US"/>
                <w14:ligatures w14:val="standardContextual"/>
              </w:rPr>
              <w:t>LUSC</w:t>
            </w:r>
          </w:p>
        </w:tc>
      </w:tr>
      <w:tr w:rsidR="00FF2923" w:rsidRPr="00C76262" w14:paraId="7A60C062" w14:textId="77777777">
        <w:trPr>
          <w:trHeight w:val="312"/>
          <w:jc w:val="right"/>
        </w:trPr>
        <w:tc>
          <w:tcPr>
            <w:tcW w:w="1560" w:type="dxa"/>
            <w:tcBorders>
              <w:top w:val="single" w:sz="4" w:space="0" w:color="auto"/>
            </w:tcBorders>
          </w:tcPr>
          <w:p w14:paraId="7DE0E10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Input image</w:t>
            </w:r>
          </w:p>
        </w:tc>
        <w:tc>
          <w:tcPr>
            <w:tcW w:w="2976" w:type="dxa"/>
            <w:tcBorders>
              <w:top w:val="single" w:sz="4" w:space="0" w:color="auto"/>
            </w:tcBorders>
          </w:tcPr>
          <w:p w14:paraId="3724FDDE"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2A63F2F8" wp14:editId="576CD98D">
                  <wp:extent cx="1157605" cy="1125855"/>
                  <wp:effectExtent l="0" t="0" r="4445" b="0"/>
                  <wp:docPr id="164759213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92135" name="Graphic 4"/>
                          <pic:cNvPicPr>
                            <a:picLocks noChangeAspect="1"/>
                          </pic:cNvPicPr>
                        </pic:nvPicPr>
                        <pic:blipFill>
                          <a:blip r:embed="rId12">
                            <a:extLst>
                              <a:ext uri="{96DAC541-7B7A-43D3-8B79-37D633B846F1}">
                                <asvg:svgBlip xmlns:asvg="http://schemas.microsoft.com/office/drawing/2016/SVG/main" r:embed="rId13"/>
                              </a:ext>
                            </a:extLst>
                          </a:blip>
                          <a:srcRect l="14930" t="11861" r="12666" b="11485"/>
                          <a:stretch>
                            <a:fillRect/>
                          </a:stretch>
                        </pic:blipFill>
                        <pic:spPr>
                          <a:xfrm>
                            <a:off x="0" y="0"/>
                            <a:ext cx="1173295" cy="1140639"/>
                          </a:xfrm>
                          <a:prstGeom prst="rect">
                            <a:avLst/>
                          </a:prstGeom>
                        </pic:spPr>
                      </pic:pic>
                    </a:graphicData>
                  </a:graphic>
                </wp:inline>
              </w:drawing>
            </w:r>
          </w:p>
        </w:tc>
        <w:tc>
          <w:tcPr>
            <w:tcW w:w="2835" w:type="dxa"/>
            <w:tcBorders>
              <w:top w:val="single" w:sz="4" w:space="0" w:color="auto"/>
            </w:tcBorders>
          </w:tcPr>
          <w:p w14:paraId="212BF61B"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05E2DEAD" wp14:editId="6B854E43">
                  <wp:extent cx="1139190" cy="1146175"/>
                  <wp:effectExtent l="0" t="0" r="3810" b="0"/>
                  <wp:docPr id="979453951"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53951" name="Graphic 5"/>
                          <pic:cNvPicPr>
                            <a:picLocks noChangeAspect="1"/>
                          </pic:cNvPicPr>
                        </pic:nvPicPr>
                        <pic:blipFill>
                          <a:blip r:embed="rId14">
                            <a:extLst>
                              <a:ext uri="{96DAC541-7B7A-43D3-8B79-37D633B846F1}">
                                <asvg:svgBlip xmlns:asvg="http://schemas.microsoft.com/office/drawing/2016/SVG/main" r:embed="rId15"/>
                              </a:ext>
                            </a:extLst>
                          </a:blip>
                          <a:srcRect l="12848" t="11979" r="10590" b="10937"/>
                          <a:stretch>
                            <a:fillRect/>
                          </a:stretch>
                        </pic:blipFill>
                        <pic:spPr>
                          <a:xfrm>
                            <a:off x="0" y="0"/>
                            <a:ext cx="1168550" cy="1175889"/>
                          </a:xfrm>
                          <a:prstGeom prst="rect">
                            <a:avLst/>
                          </a:prstGeom>
                        </pic:spPr>
                      </pic:pic>
                    </a:graphicData>
                  </a:graphic>
                </wp:inline>
              </w:drawing>
            </w:r>
          </w:p>
        </w:tc>
        <w:tc>
          <w:tcPr>
            <w:tcW w:w="2907" w:type="dxa"/>
            <w:tcBorders>
              <w:top w:val="single" w:sz="4" w:space="0" w:color="auto"/>
            </w:tcBorders>
          </w:tcPr>
          <w:p w14:paraId="2E8D3616"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7418621D" wp14:editId="6678E373">
                  <wp:extent cx="1152525" cy="1118870"/>
                  <wp:effectExtent l="0" t="0" r="9525" b="5080"/>
                  <wp:docPr id="306263041"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63041" name="Graphic 6"/>
                          <pic:cNvPicPr>
                            <a:picLocks noChangeAspect="1"/>
                          </pic:cNvPicPr>
                        </pic:nvPicPr>
                        <pic:blipFill>
                          <a:blip r:embed="rId16">
                            <a:extLst>
                              <a:ext uri="{96DAC541-7B7A-43D3-8B79-37D633B846F1}">
                                <asvg:svgBlip xmlns:asvg="http://schemas.microsoft.com/office/drawing/2016/SVG/main" r:embed="rId17"/>
                              </a:ext>
                            </a:extLst>
                          </a:blip>
                          <a:srcRect l="12673" t="11806" r="9848" b="11111"/>
                          <a:stretch>
                            <a:fillRect/>
                          </a:stretch>
                        </pic:blipFill>
                        <pic:spPr>
                          <a:xfrm flipV="1">
                            <a:off x="0" y="0"/>
                            <a:ext cx="1188458" cy="1153546"/>
                          </a:xfrm>
                          <a:prstGeom prst="rect">
                            <a:avLst/>
                          </a:prstGeom>
                        </pic:spPr>
                      </pic:pic>
                    </a:graphicData>
                  </a:graphic>
                </wp:inline>
              </w:drawing>
            </w:r>
          </w:p>
        </w:tc>
      </w:tr>
      <w:tr w:rsidR="00FF2923" w:rsidRPr="00C76262" w14:paraId="546E1164" w14:textId="77777777">
        <w:trPr>
          <w:trHeight w:val="331"/>
          <w:jc w:val="right"/>
        </w:trPr>
        <w:tc>
          <w:tcPr>
            <w:tcW w:w="1560" w:type="dxa"/>
          </w:tcPr>
          <w:p w14:paraId="6CC159F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bCs/>
                <w:sz w:val="18"/>
                <w:szCs w:val="18"/>
                <w:lang w:val="ru-RU"/>
              </w:rPr>
              <w:t>Preprocessed image</w:t>
            </w:r>
          </w:p>
        </w:tc>
        <w:tc>
          <w:tcPr>
            <w:tcW w:w="2976" w:type="dxa"/>
          </w:tcPr>
          <w:p w14:paraId="50A68924"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46BAA8CA" wp14:editId="01EA2A73">
                  <wp:extent cx="1159510" cy="1185545"/>
                  <wp:effectExtent l="0" t="0" r="2540" b="0"/>
                  <wp:docPr id="264466985"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66985" name="Graphic 7"/>
                          <pic:cNvPicPr>
                            <a:picLocks noChangeAspect="1"/>
                          </pic:cNvPicPr>
                        </pic:nvPicPr>
                        <pic:blipFill>
                          <a:blip r:embed="rId18">
                            <a:extLst>
                              <a:ext uri="{96DAC541-7B7A-43D3-8B79-37D633B846F1}">
                                <asvg:svgBlip xmlns:asvg="http://schemas.microsoft.com/office/drawing/2016/SVG/main" r:embed="rId19"/>
                              </a:ext>
                            </a:extLst>
                          </a:blip>
                          <a:srcRect l="13518" t="12076" r="11111" b="10944"/>
                          <a:stretch>
                            <a:fillRect/>
                          </a:stretch>
                        </pic:blipFill>
                        <pic:spPr>
                          <a:xfrm>
                            <a:off x="0" y="0"/>
                            <a:ext cx="1174546" cy="1200673"/>
                          </a:xfrm>
                          <a:prstGeom prst="rect">
                            <a:avLst/>
                          </a:prstGeom>
                        </pic:spPr>
                      </pic:pic>
                    </a:graphicData>
                  </a:graphic>
                </wp:inline>
              </w:drawing>
            </w:r>
          </w:p>
        </w:tc>
        <w:tc>
          <w:tcPr>
            <w:tcW w:w="2835" w:type="dxa"/>
          </w:tcPr>
          <w:p w14:paraId="1FE80D83"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0F6B21D2" wp14:editId="1BFD36EE">
                  <wp:extent cx="1125855" cy="1200785"/>
                  <wp:effectExtent l="0" t="0" r="0" b="0"/>
                  <wp:docPr id="1037754624"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54624" name="Graphic 8"/>
                          <pic:cNvPicPr>
                            <a:picLocks noChangeAspect="1"/>
                          </pic:cNvPicPr>
                        </pic:nvPicPr>
                        <pic:blipFill>
                          <a:blip r:embed="rId20">
                            <a:extLst>
                              <a:ext uri="{96DAC541-7B7A-43D3-8B79-37D633B846F1}">
                                <asvg:svgBlip xmlns:asvg="http://schemas.microsoft.com/office/drawing/2016/SVG/main" r:embed="rId21"/>
                              </a:ext>
                            </a:extLst>
                          </a:blip>
                          <a:srcRect l="12735" t="13207" r="10849" b="10377"/>
                          <a:stretch>
                            <a:fillRect/>
                          </a:stretch>
                        </pic:blipFill>
                        <pic:spPr>
                          <a:xfrm flipV="1">
                            <a:off x="0" y="0"/>
                            <a:ext cx="1141152" cy="1217229"/>
                          </a:xfrm>
                          <a:prstGeom prst="rect">
                            <a:avLst/>
                          </a:prstGeom>
                        </pic:spPr>
                      </pic:pic>
                    </a:graphicData>
                  </a:graphic>
                </wp:inline>
              </w:drawing>
            </w:r>
          </w:p>
        </w:tc>
        <w:tc>
          <w:tcPr>
            <w:tcW w:w="2907" w:type="dxa"/>
          </w:tcPr>
          <w:p w14:paraId="245B0F7E" w14:textId="77777777" w:rsidR="00FF2923" w:rsidRPr="00C76262" w:rsidRDefault="00000000" w:rsidP="002E3308">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noProof/>
                <w:sz w:val="18"/>
                <w:szCs w:val="18"/>
                <w:lang w:eastAsia="en-IN"/>
              </w:rPr>
              <w:drawing>
                <wp:inline distT="0" distB="0" distL="0" distR="0" wp14:anchorId="5C31176F" wp14:editId="625CE865">
                  <wp:extent cx="1153160" cy="1142365"/>
                  <wp:effectExtent l="0" t="0" r="8890" b="635"/>
                  <wp:docPr id="18340776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7765" name="Graphic 9"/>
                          <pic:cNvPicPr>
                            <a:picLocks noChangeAspect="1"/>
                          </pic:cNvPicPr>
                        </pic:nvPicPr>
                        <pic:blipFill>
                          <a:blip r:embed="rId22">
                            <a:extLst>
                              <a:ext uri="{96DAC541-7B7A-43D3-8B79-37D633B846F1}">
                                <asvg:svgBlip xmlns:asvg="http://schemas.microsoft.com/office/drawing/2016/SVG/main" r:embed="rId23"/>
                              </a:ext>
                            </a:extLst>
                          </a:blip>
                          <a:srcRect l="12414" t="12414" r="10344" b="11034"/>
                          <a:stretch>
                            <a:fillRect/>
                          </a:stretch>
                        </pic:blipFill>
                        <pic:spPr>
                          <a:xfrm>
                            <a:off x="0" y="0"/>
                            <a:ext cx="1171747" cy="1161286"/>
                          </a:xfrm>
                          <a:prstGeom prst="rect">
                            <a:avLst/>
                          </a:prstGeom>
                        </pic:spPr>
                      </pic:pic>
                    </a:graphicData>
                  </a:graphic>
                </wp:inline>
              </w:drawing>
            </w:r>
          </w:p>
        </w:tc>
      </w:tr>
    </w:tbl>
    <w:p w14:paraId="1D9E0126"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2.3. Lung cancer grading through ResCBAM-ViTFSG</w:t>
      </w:r>
    </w:p>
    <w:p w14:paraId="519EBDC9"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We introduce a dual-branch hybrid DL framework, </w:t>
      </w:r>
      <w:proofErr w:type="spellStart"/>
      <w:r w:rsidRPr="00C76262">
        <w:rPr>
          <w:rFonts w:ascii="Times New Roman" w:eastAsia="宋体" w:hAnsi="Times New Roman" w:cs="Times New Roman"/>
          <w:szCs w:val="24"/>
          <w:lang w:val="en-US"/>
        </w:rPr>
        <w:t>ResCBAM-ViTFSG</w:t>
      </w:r>
      <w:proofErr w:type="spellEnd"/>
      <w:r w:rsidRPr="00C76262">
        <w:rPr>
          <w:rFonts w:ascii="Times New Roman" w:eastAsia="宋体" w:hAnsi="Times New Roman" w:cs="Times New Roman"/>
          <w:szCs w:val="24"/>
          <w:lang w:val="en-US"/>
        </w:rPr>
        <w:t xml:space="preserve"> for lung cancer grading that combines ResNet-18 with CBAM and an enhanced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 block with the FSG to effectively grade lung cancer using histopathological images. The backbone ResNet18 layer with CBAM extracts local features, and the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 block with an FSG layer extracts global features, fuses them onto the Monte Carlo Dropout layer to capture predictive uncertainty. The developed UAR-Adam optimizer reweights the learning rate based on uncertainty. Finally, the classification head, which includes a </w:t>
      </w:r>
      <w:proofErr w:type="spellStart"/>
      <w:r w:rsidRPr="00C76262">
        <w:rPr>
          <w:rFonts w:ascii="Times New Roman" w:eastAsia="宋体" w:hAnsi="Times New Roman" w:cs="Times New Roman"/>
          <w:szCs w:val="24"/>
          <w:lang w:val="en-US"/>
        </w:rPr>
        <w:t>softmax</w:t>
      </w:r>
      <w:proofErr w:type="spellEnd"/>
      <w:r w:rsidRPr="00C76262">
        <w:rPr>
          <w:rFonts w:ascii="Times New Roman" w:eastAsia="宋体" w:hAnsi="Times New Roman" w:cs="Times New Roman"/>
          <w:szCs w:val="24"/>
          <w:lang w:val="en-US"/>
        </w:rPr>
        <w:t xml:space="preserve"> and FC layers, grades the lung cancer.</w:t>
      </w:r>
      <w:r w:rsidRPr="00C76262">
        <w:rPr>
          <w:rFonts w:ascii="Times New Roman" w:eastAsia="宋体" w:hAnsi="Times New Roman" w:cs="Times New Roman"/>
          <w:b/>
          <w:bCs/>
          <w:szCs w:val="24"/>
          <w:lang w:val="en-US"/>
        </w:rPr>
        <w:t xml:space="preserve"> Figure </w:t>
      </w:r>
      <w:r w:rsidRPr="00C76262">
        <w:rPr>
          <w:rFonts w:ascii="Times New Roman" w:eastAsia="宋体" w:hAnsi="Times New Roman" w:cs="Times New Roman"/>
          <w:b/>
          <w:bCs/>
          <w:szCs w:val="24"/>
          <w:lang w:val="en-US" w:eastAsia="zh-CN"/>
        </w:rPr>
        <w:t>3</w:t>
      </w:r>
      <w:r w:rsidRPr="00C76262">
        <w:rPr>
          <w:rFonts w:ascii="Times New Roman" w:eastAsia="宋体" w:hAnsi="Times New Roman" w:cs="Times New Roman"/>
          <w:b/>
          <w:bCs/>
          <w:szCs w:val="24"/>
          <w:lang w:val="en-US"/>
        </w:rPr>
        <w:t xml:space="preserve"> </w:t>
      </w:r>
      <w:r w:rsidRPr="00C76262">
        <w:rPr>
          <w:rFonts w:ascii="Times New Roman" w:eastAsia="宋体" w:hAnsi="Times New Roman" w:cs="Times New Roman"/>
          <w:szCs w:val="24"/>
          <w:lang w:val="en-US"/>
        </w:rPr>
        <w:t xml:space="preserve">shows the architecture diagram of the </w:t>
      </w:r>
      <w:proofErr w:type="spellStart"/>
      <w:r w:rsidRPr="00C76262">
        <w:rPr>
          <w:rFonts w:ascii="Times New Roman" w:eastAsia="宋体" w:hAnsi="Times New Roman" w:cs="Times New Roman"/>
          <w:szCs w:val="24"/>
          <w:lang w:val="en-US"/>
        </w:rPr>
        <w:t>ResCBAM-ViTFSG</w:t>
      </w:r>
      <w:proofErr w:type="spellEnd"/>
      <w:r w:rsidRPr="00C76262">
        <w:rPr>
          <w:rFonts w:ascii="Times New Roman" w:eastAsia="宋体" w:hAnsi="Times New Roman" w:cs="Times New Roman"/>
          <w:szCs w:val="24"/>
          <w:lang w:val="en-US"/>
        </w:rPr>
        <w:t xml:space="preserve"> grading framework. The architecture of ResNet-18, features a sequence of convolutional blocks that use average pooling for input processing and output generation. This network comprises eight residual building </w:t>
      </w:r>
      <w:r w:rsidRPr="00C76262">
        <w:rPr>
          <w:rFonts w:ascii="Times New Roman" w:eastAsia="宋体" w:hAnsi="Times New Roman" w:cs="Times New Roman"/>
          <w:szCs w:val="24"/>
          <w:lang w:val="en-US"/>
        </w:rPr>
        <w:lastRenderedPageBreak/>
        <w:t>blocks and 17 convolutional layers, a 3</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3 max pooling layer, and a FC layer.</w:t>
      </w:r>
    </w:p>
    <w:p w14:paraId="51E39D96" w14:textId="77777777" w:rsidR="00FF2923" w:rsidRPr="00C76262" w:rsidRDefault="00000000">
      <w:pPr>
        <w:adjustRightInd w:val="0"/>
        <w:snapToGrid w:val="0"/>
        <w:spacing w:before="240" w:after="0" w:line="240" w:lineRule="auto"/>
        <w:ind w:left="2948"/>
        <w:jc w:val="center"/>
        <w:rPr>
          <w:rFonts w:ascii="Times New Roman" w:hAnsi="Times New Roman" w:cs="Times New Roman"/>
          <w:sz w:val="20"/>
          <w:szCs w:val="20"/>
          <w:lang w:val="en-US"/>
        </w:rPr>
      </w:pPr>
      <w:r w:rsidRPr="00C76262">
        <w:rPr>
          <w:rFonts w:ascii="Times New Roman" w:eastAsia="宋体" w:hAnsi="Times New Roman" w:cs="Times New Roman"/>
          <w:noProof/>
          <w:lang w:eastAsia="en-IN"/>
        </w:rPr>
        <w:drawing>
          <wp:inline distT="0" distB="0" distL="0" distR="0" wp14:anchorId="214C5A30" wp14:editId="0FE01A29">
            <wp:extent cx="3978258" cy="3886200"/>
            <wp:effectExtent l="0" t="0" r="3810" b="0"/>
            <wp:docPr id="9892288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2883" name="Graphic 3"/>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4003566" cy="3910922"/>
                    </a:xfrm>
                    <a:prstGeom prst="rect">
                      <a:avLst/>
                    </a:prstGeom>
                  </pic:spPr>
                </pic:pic>
              </a:graphicData>
            </a:graphic>
          </wp:inline>
        </w:drawing>
      </w:r>
    </w:p>
    <w:p w14:paraId="24216DF8" w14:textId="77777777" w:rsidR="00FF2923" w:rsidRPr="00C76262" w:rsidRDefault="00000000">
      <w:pPr>
        <w:adjustRightInd w:val="0"/>
        <w:snapToGrid w:val="0"/>
        <w:spacing w:before="60" w:after="240" w:line="288" w:lineRule="auto"/>
        <w:ind w:left="2948"/>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Figure </w:t>
      </w:r>
      <w:r w:rsidRPr="00C76262">
        <w:rPr>
          <w:rFonts w:ascii="Times New Roman" w:eastAsia="宋体" w:hAnsi="Times New Roman" w:cs="Times New Roman"/>
          <w:b/>
          <w:bCs/>
          <w:lang w:val="ru-RU" w:eastAsia="zh-CN"/>
        </w:rPr>
        <w:t>3</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Architecture diagram of the dual-branch ResCBAM-ViTFSG framework</w:t>
      </w:r>
      <w:r w:rsidRPr="00C76262">
        <w:rPr>
          <w:rFonts w:ascii="Times New Roman" w:eastAsia="宋体" w:hAnsi="Times New Roman" w:cs="Times New Roman"/>
          <w:lang w:val="en-US"/>
        </w:rPr>
        <w:t>.</w:t>
      </w:r>
    </w:p>
    <w:p w14:paraId="31847AD7"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ResNet18 model incorporates a </w:t>
      </w:r>
      <w:proofErr w:type="spellStart"/>
      <w:r w:rsidRPr="00C76262">
        <w:rPr>
          <w:rFonts w:ascii="Times New Roman" w:eastAsia="宋体" w:hAnsi="Times New Roman" w:cs="Times New Roman"/>
          <w:szCs w:val="24"/>
          <w:lang w:val="en-US"/>
        </w:rPr>
        <w:t>ReLU</w:t>
      </w:r>
      <w:proofErr w:type="spellEnd"/>
      <w:r w:rsidRPr="00C76262">
        <w:rPr>
          <w:rFonts w:ascii="Times New Roman" w:eastAsia="宋体" w:hAnsi="Times New Roman" w:cs="Times New Roman"/>
          <w:szCs w:val="24"/>
          <w:lang w:val="en-US"/>
        </w:rPr>
        <w:t xml:space="preserve"> activation function and Batch Normalization (BN) following all convolution layers. The two primary attention modules in CBAM are the channel attention module and the spatial attention module. The channel attention captures the weights across various channels to enhance their correlations, and the spatial attention focuses on learning weights among different locations to improve spatial relationships. The integrated ResNet18 with CBAM architecture extracts local features from lung histopathological images. Each ResNet18 residual block includes two convolutional layers. We embed CBAM within each </w:t>
      </w:r>
      <w:proofErr w:type="spellStart"/>
      <w:r w:rsidRPr="00C76262">
        <w:rPr>
          <w:rFonts w:ascii="Times New Roman" w:eastAsia="宋体" w:hAnsi="Times New Roman" w:cs="Times New Roman"/>
          <w:szCs w:val="24"/>
          <w:lang w:val="en-US"/>
        </w:rPr>
        <w:t>ResNet</w:t>
      </w:r>
      <w:proofErr w:type="spellEnd"/>
      <w:r w:rsidRPr="00C76262">
        <w:rPr>
          <w:rFonts w:ascii="Times New Roman" w:eastAsia="宋体" w:hAnsi="Times New Roman" w:cs="Times New Roman"/>
          <w:szCs w:val="24"/>
          <w:lang w:val="en-US"/>
        </w:rPr>
        <w:t xml:space="preserve"> residual block of the neural network structure. This enriches intermediate feature maps, converting them into vital information that represents the input.</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The ResNet18-CBAM branch extracts local spatial feature representations in multidimensional tensor form. To enable feature fusion, the extracted spatial feature maps are flattened and refined into a compact one-dimensional feature vector representation. Simultaneously, the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-FSG branch generates a global contextual feature embedding that captures long-range dependencies and semantic tissue information. Before concatenation, both feature representations are dimensionally aligned through feature refinement and transformation operations to ensure compatibility along the feature axis. The aligned local and global feature vectors are then concatenated to form the final fused feature representation used for lung cancer grading. The feature fusion process can be represented as expressed in Equation (1).</w:t>
      </w:r>
    </w:p>
    <w:tbl>
      <w:tblPr>
        <w:tblW w:w="7517" w:type="dxa"/>
        <w:tblInd w:w="2948" w:type="dxa"/>
        <w:tblLayout w:type="fixed"/>
        <w:tblCellMar>
          <w:left w:w="0" w:type="dxa"/>
          <w:right w:w="0" w:type="dxa"/>
        </w:tblCellMar>
        <w:tblLook w:val="04A0" w:firstRow="1" w:lastRow="0" w:firstColumn="1" w:lastColumn="0" w:noHBand="0" w:noVBand="1"/>
      </w:tblPr>
      <w:tblGrid>
        <w:gridCol w:w="7256"/>
        <w:gridCol w:w="261"/>
      </w:tblGrid>
      <w:tr w:rsidR="00FF2923" w:rsidRPr="00C76262" w14:paraId="18B97803" w14:textId="77777777">
        <w:tc>
          <w:tcPr>
            <w:tcW w:w="7256" w:type="dxa"/>
            <w:vAlign w:val="center"/>
          </w:tcPr>
          <w:p w14:paraId="42696957"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center"/>
              <w:rPr>
                <w:rFonts w:ascii="Cambria Math" w:eastAsia="Times New Roman" w:hAnsi="Cambria Math" w:cs="Times New Roman"/>
                <w:oMath/>
              </w:rPr>
            </w:pPr>
            <m:oMathPara>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F</m:t>
                    </m:r>
                  </m:e>
                  <m:sub>
                    <m:r>
                      <m:rPr>
                        <m:nor/>
                      </m:rPr>
                      <w:rPr>
                        <w:rFonts w:ascii="Times New Roman" w:eastAsia="宋体" w:hAnsi="Times New Roman" w:cs="Times New Roman"/>
                        <w:szCs w:val="24"/>
                        <w:lang w:val="en-US"/>
                      </w:rPr>
                      <m:t>fusion</m:t>
                    </m:r>
                  </m:sub>
                </m:sSub>
                <m:r>
                  <w:rPr>
                    <w:rFonts w:ascii="Cambria Math" w:eastAsia="宋体" w:hAnsi="Cambria Math" w:cs="Times New Roman"/>
                    <w:szCs w:val="24"/>
                    <w:lang w:val="en-US"/>
                  </w:rPr>
                  <m:t>=</m:t>
                </m:r>
                <m:r>
                  <m:rPr>
                    <m:nor/>
                  </m:rPr>
                  <w:rPr>
                    <w:rFonts w:ascii="Times New Roman" w:eastAsia="宋体" w:hAnsi="Times New Roman" w:cs="Times New Roman"/>
                    <w:szCs w:val="24"/>
                    <w:lang w:val="en-US"/>
                  </w:rPr>
                  <m:t>Concat</m:t>
                </m:r>
                <m: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F</m:t>
                    </m:r>
                  </m:e>
                  <m:sub>
                    <m:r>
                      <m:rPr>
                        <m:nor/>
                      </m:rPr>
                      <w:rPr>
                        <w:rFonts w:ascii="Times New Roman" w:eastAsia="宋体" w:hAnsi="Times New Roman" w:cs="Times New Roman"/>
                        <w:szCs w:val="24"/>
                        <w:lang w:val="en-US"/>
                      </w:rPr>
                      <m:t>ResCBAM</m:t>
                    </m:r>
                  </m:sub>
                </m:sSub>
                <m: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F</m:t>
                    </m:r>
                  </m:e>
                  <m:sub>
                    <m:r>
                      <m:rPr>
                        <m:nor/>
                      </m:rPr>
                      <w:rPr>
                        <w:rFonts w:ascii="Times New Roman" w:eastAsia="宋体" w:hAnsi="Times New Roman" w:cs="Times New Roman"/>
                        <w:szCs w:val="24"/>
                        <w:lang w:val="en-US"/>
                      </w:rPr>
                      <m:t>ViT-FSG</m:t>
                    </m:r>
                  </m:sub>
                </m:sSub>
                <m:r>
                  <w:rPr>
                    <w:rFonts w:ascii="Cambria Math" w:eastAsia="宋体" w:hAnsi="Cambria Math" w:cs="Times New Roman"/>
                    <w:szCs w:val="24"/>
                    <w:lang w:val="en-US"/>
                  </w:rPr>
                  <m:t>)</m:t>
                </m:r>
              </m:oMath>
            </m:oMathPara>
          </w:p>
        </w:tc>
        <w:tc>
          <w:tcPr>
            <w:tcW w:w="261" w:type="dxa"/>
            <w:vAlign w:val="center"/>
          </w:tcPr>
          <w:p w14:paraId="60FB0346"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right"/>
              <w:rPr>
                <w:rFonts w:ascii="Times New Roman" w:eastAsia="Times New Roman" w:hAnsi="Times New Roman" w:cs="Times New Roman"/>
                <w:kern w:val="2"/>
                <w:szCs w:val="24"/>
                <w:lang w:bidi="ta-IN"/>
              </w:rPr>
            </w:pPr>
            <w:r w:rsidRPr="00C76262">
              <w:rPr>
                <w:rFonts w:ascii="Times New Roman" w:eastAsia="Times New Roman" w:hAnsi="Times New Roman" w:cs="Times New Roman"/>
                <w:kern w:val="2"/>
                <w:szCs w:val="24"/>
                <w:lang w:bidi="ta-IN"/>
              </w:rPr>
              <w:t>(</w:t>
            </w:r>
            <w:r w:rsidRPr="00C76262">
              <w:rPr>
                <w:rFonts w:ascii="Times New Roman" w:eastAsiaTheme="minorEastAsia" w:hAnsi="Times New Roman" w:cs="Times New Roman"/>
                <w:kern w:val="2"/>
                <w:szCs w:val="24"/>
                <w:lang w:eastAsia="zh-CN" w:bidi="ta-IN"/>
              </w:rPr>
              <w:t>1</w:t>
            </w:r>
            <w:r w:rsidRPr="00C76262">
              <w:rPr>
                <w:rFonts w:ascii="Times New Roman" w:eastAsia="Times New Roman" w:hAnsi="Times New Roman" w:cs="Times New Roman"/>
                <w:kern w:val="2"/>
                <w:szCs w:val="24"/>
                <w:lang w:bidi="ta-IN"/>
              </w:rPr>
              <w:t>)</w:t>
            </w:r>
          </w:p>
        </w:tc>
      </w:tr>
    </w:tbl>
    <w:p w14:paraId="1E3DCDEE" w14:textId="77777777" w:rsidR="00FF2923" w:rsidRPr="00C76262" w:rsidRDefault="00000000">
      <w:pPr>
        <w:widowControl w:val="0"/>
        <w:adjustRightInd w:val="0"/>
        <w:snapToGrid w:val="0"/>
        <w:spacing w:after="0" w:line="288" w:lineRule="auto"/>
        <w:ind w:left="2948"/>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lastRenderedPageBreak/>
        <w:t xml:space="preserve">Where, </w:t>
      </w:r>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F</m:t>
            </m:r>
          </m:e>
          <m:sub>
            <m:r>
              <m:rPr>
                <m:nor/>
              </m:rPr>
              <w:rPr>
                <w:rFonts w:ascii="Times New Roman" w:eastAsia="宋体" w:hAnsi="Times New Roman" w:cs="Times New Roman"/>
                <w:szCs w:val="24"/>
                <w:lang w:val="en-US"/>
              </w:rPr>
              <m:t>ResCBAM</m:t>
            </m:r>
          </m:sub>
        </m:sSub>
      </m:oMath>
      <w:r w:rsidRPr="00C76262">
        <w:rPr>
          <w:rFonts w:ascii="Times New Roman" w:eastAsia="宋体" w:hAnsi="Times New Roman" w:cs="Times New Roman"/>
          <w:szCs w:val="24"/>
          <w:lang w:val="en-US"/>
        </w:rPr>
        <w:t xml:space="preserve"> represents the refined local morphological features extracted from the ResNet18-CBAM branch and </w:t>
      </w:r>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F</m:t>
            </m:r>
          </m:e>
          <m:sub>
            <m:r>
              <m:rPr>
                <m:nor/>
              </m:rPr>
              <w:rPr>
                <w:rFonts w:ascii="Times New Roman" w:eastAsia="宋体" w:hAnsi="Times New Roman" w:cs="Times New Roman"/>
                <w:szCs w:val="24"/>
                <w:lang w:val="en-US"/>
              </w:rPr>
              <m:t>ViT-FSG</m:t>
            </m:r>
          </m:sub>
        </m:sSub>
      </m:oMath>
      <w:r w:rsidRPr="00C76262">
        <w:rPr>
          <w:rFonts w:ascii="Times New Roman" w:eastAsia="宋体" w:hAnsi="Times New Roman" w:cs="Times New Roman"/>
          <w:szCs w:val="24"/>
          <w:lang w:val="en-US"/>
        </w:rPr>
        <w:t xml:space="preserve"> denotes the global contextual feature embedding generated by the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-FSG branch. This fusion strategy enables effective integration of local tissue characteristics and global contextual dependencies for robust histopathological grading performance. After feature extraction, both local and global features are concatenated subsequently and passed to the UAR-Adam optimizer before </w:t>
      </w:r>
      <w:r w:rsidRPr="00C76262">
        <w:rPr>
          <w:rFonts w:ascii="Times New Roman" w:eastAsia="宋体" w:hAnsi="Times New Roman" w:cs="Times New Roman"/>
          <w:szCs w:val="24"/>
          <w:lang w:val="en-US" w:eastAsia="zh-CN"/>
        </w:rPr>
        <w:t>S</w:t>
      </w:r>
      <w:r w:rsidRPr="00C76262">
        <w:rPr>
          <w:rFonts w:ascii="Times New Roman" w:eastAsia="宋体" w:hAnsi="Times New Roman" w:cs="Times New Roman"/>
          <w:szCs w:val="24"/>
          <w:lang w:val="en-US"/>
        </w:rPr>
        <w:t>oft</w:t>
      </w:r>
      <w:r w:rsidRPr="00C76262">
        <w:rPr>
          <w:rFonts w:ascii="Times New Roman" w:eastAsia="宋体" w:hAnsi="Times New Roman" w:cs="Times New Roman"/>
          <w:szCs w:val="24"/>
          <w:lang w:val="en-US" w:eastAsia="zh-CN"/>
        </w:rPr>
        <w:t>M</w:t>
      </w:r>
      <w:r w:rsidRPr="00C76262">
        <w:rPr>
          <w:rFonts w:ascii="Times New Roman" w:eastAsia="宋体" w:hAnsi="Times New Roman" w:cs="Times New Roman"/>
          <w:szCs w:val="24"/>
          <w:lang w:val="en-US"/>
        </w:rPr>
        <w:t>ax to estimate prediction uncertainty. After feature fusion, we employed the Monte Carlo Dropout (MCD) layer to reduce model complexity and avoid overfitting. It also supports more reliable and transparent decision-making in lung cancer grading.</w:t>
      </w:r>
    </w:p>
    <w:p w14:paraId="4411D7D6"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 xml:space="preserve">2.4. Enhanced UAR-Adam </w:t>
      </w:r>
      <w:r w:rsidRPr="00C76262">
        <w:rPr>
          <w:rFonts w:ascii="Times New Roman" w:eastAsia="宋体" w:hAnsi="Times New Roman" w:cs="Times New Roman"/>
          <w:b/>
          <w:sz w:val="24"/>
          <w:szCs w:val="24"/>
          <w:lang w:val="ru-RU" w:eastAsia="zh-CN"/>
        </w:rPr>
        <w:t>o</w:t>
      </w:r>
      <w:r w:rsidRPr="00C76262">
        <w:rPr>
          <w:rFonts w:ascii="Times New Roman" w:eastAsia="宋体" w:hAnsi="Times New Roman" w:cs="Times New Roman"/>
          <w:b/>
          <w:sz w:val="24"/>
          <w:szCs w:val="24"/>
          <w:lang w:val="ru-RU"/>
        </w:rPr>
        <w:t>ptimizer</w:t>
      </w:r>
    </w:p>
    <w:p w14:paraId="7B92054E"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In lung cancer grading, the training samples often vary in confidence because low-contrast or noisy images may lead to inefficient grading. The proposed enhanced Adam optimizer, Uncertainty-Aware Reweighted Adam (UAR-Adam), improves the baseline Adam by ensuring more stable training and improved generalization, thereby preventing aggressive updates on uncertain samples. The Adam optimizer is defined using Equation (2).</w:t>
      </w:r>
    </w:p>
    <w:tbl>
      <w:tblPr>
        <w:tblW w:w="7517" w:type="dxa"/>
        <w:tblInd w:w="2948" w:type="dxa"/>
        <w:tblLayout w:type="fixed"/>
        <w:tblCellMar>
          <w:left w:w="0" w:type="dxa"/>
          <w:right w:w="0" w:type="dxa"/>
        </w:tblCellMar>
        <w:tblLook w:val="04A0" w:firstRow="1" w:lastRow="0" w:firstColumn="1" w:lastColumn="0" w:noHBand="0" w:noVBand="1"/>
      </w:tblPr>
      <w:tblGrid>
        <w:gridCol w:w="7256"/>
        <w:gridCol w:w="261"/>
      </w:tblGrid>
      <w:tr w:rsidR="00FF2923" w:rsidRPr="00C76262" w14:paraId="05EC50F0" w14:textId="77777777">
        <w:tc>
          <w:tcPr>
            <w:tcW w:w="7256" w:type="dxa"/>
            <w:vAlign w:val="center"/>
          </w:tcPr>
          <w:p w14:paraId="2BE27600"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center"/>
              <w:rPr>
                <w:rFonts w:ascii="Cambria Math" w:eastAsia="Times New Roman" w:hAnsi="Cambria Math" w:cs="Times New Roman"/>
                <w:oMath/>
              </w:rPr>
            </w:pPr>
            <m:oMathPara>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A</m:t>
                    </m:r>
                  </m:e>
                  <m:sub>
                    <m:r>
                      <m:rPr>
                        <m:scr m:val="fraktur"/>
                        <m:sty m:val="p"/>
                      </m:rPr>
                      <w:rPr>
                        <w:rFonts w:ascii="Cambria Math" w:eastAsia="宋体" w:hAnsi="Cambria Math" w:cs="Times New Roman"/>
                        <w:szCs w:val="24"/>
                        <w:lang w:val="en-US"/>
                      </w:rPr>
                      <m:t>t</m:t>
                    </m:r>
                  </m:sub>
                </m:sSub>
                <m:r>
                  <m:rPr>
                    <m:sty m:val="p"/>
                  </m:rP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Z</m:t>
                    </m:r>
                  </m:e>
                  <m:sub>
                    <m:r>
                      <m:rPr>
                        <m:scr m:val="fraktur"/>
                        <m:sty m:val="p"/>
                      </m:rPr>
                      <w:rPr>
                        <w:rFonts w:ascii="Cambria Math" w:eastAsia="宋体" w:hAnsi="Cambria Math" w:cs="Times New Roman"/>
                        <w:szCs w:val="24"/>
                        <w:lang w:val="en-US"/>
                      </w:rPr>
                      <m:t>t-</m:t>
                    </m:r>
                    <m:r>
                      <m:rPr>
                        <m:sty m:val="p"/>
                      </m:rPr>
                      <w:rPr>
                        <w:rFonts w:ascii="Cambria Math" w:eastAsia="宋体" w:hAnsi="Cambria Math" w:cs="Times New Roman"/>
                        <w:szCs w:val="24"/>
                        <w:lang w:val="en-US"/>
                      </w:rPr>
                      <m:t>1</m:t>
                    </m:r>
                  </m:sub>
                </m:sSub>
                <m:r>
                  <m:rPr>
                    <m:sty m:val="p"/>
                  </m:rPr>
                  <w:rPr>
                    <w:rFonts w:ascii="Cambria Math" w:eastAsia="宋体" w:hAnsi="Cambria Math" w:cs="Times New Roman"/>
                    <w:szCs w:val="24"/>
                    <w:lang w:val="en-US"/>
                  </w:rPr>
                  <m:t>-</m:t>
                </m:r>
                <m:r>
                  <w:rPr>
                    <w:rFonts w:ascii="Cambria Math" w:eastAsia="宋体" w:hAnsi="Cambria Math" w:cs="Times New Roman"/>
                    <w:szCs w:val="24"/>
                    <w:lang w:val="en-US"/>
                  </w:rPr>
                  <m:t>μ</m:t>
                </m:r>
                <m:f>
                  <m:fPr>
                    <m:ctrlPr>
                      <w:rPr>
                        <w:rFonts w:ascii="Cambria Math" w:eastAsia="宋体" w:hAnsi="Cambria Math" w:cs="Times New Roman"/>
                        <w:szCs w:val="24"/>
                        <w:lang w:val="en-US"/>
                      </w:rPr>
                    </m:ctrlPr>
                  </m:fPr>
                  <m:num>
                    <m:acc>
                      <m:accPr>
                        <m:ctrlPr>
                          <w:rPr>
                            <w:rFonts w:ascii="Cambria Math" w:eastAsia="宋体" w:hAnsi="Cambria Math" w:cs="Times New Roman"/>
                            <w:szCs w:val="24"/>
                            <w:lang w:val="en-US"/>
                          </w:rPr>
                        </m:ctrlPr>
                      </m:accPr>
                      <m:e>
                        <m:sSub>
                          <m:sSubPr>
                            <m:ctrlPr>
                              <w:rPr>
                                <w:rFonts w:ascii="Cambria Math" w:eastAsia="宋体" w:hAnsi="Cambria Math" w:cs="Times New Roman"/>
                                <w:szCs w:val="24"/>
                                <w:lang w:val="en-US"/>
                              </w:rPr>
                            </m:ctrlPr>
                          </m:sSubPr>
                          <m:e>
                            <m:r>
                              <m:rPr>
                                <m:scr m:val="fraktur"/>
                                <m:sty m:val="p"/>
                              </m:rPr>
                              <w:rPr>
                                <w:rFonts w:ascii="Cambria Math" w:eastAsia="宋体" w:hAnsi="Cambria Math" w:cs="Times New Roman"/>
                                <w:szCs w:val="24"/>
                                <w:lang w:val="en-US"/>
                              </w:rPr>
                              <m:t>m</m:t>
                            </m:r>
                          </m:e>
                          <m:sub>
                            <m:r>
                              <m:rPr>
                                <m:scr m:val="fraktur"/>
                                <m:sty m:val="p"/>
                              </m:rPr>
                              <w:rPr>
                                <w:rFonts w:ascii="Cambria Math" w:eastAsia="宋体" w:hAnsi="Cambria Math" w:cs="Times New Roman"/>
                                <w:szCs w:val="24"/>
                                <w:lang w:val="en-US"/>
                              </w:rPr>
                              <m:t>t</m:t>
                            </m:r>
                          </m:sub>
                        </m:sSub>
                      </m:e>
                    </m:acc>
                  </m:num>
                  <m:den>
                    <m:rad>
                      <m:radPr>
                        <m:degHide m:val="1"/>
                        <m:ctrlPr>
                          <w:rPr>
                            <w:rFonts w:ascii="Cambria Math" w:eastAsia="宋体" w:hAnsi="Cambria Math" w:cs="Times New Roman"/>
                            <w:szCs w:val="24"/>
                            <w:lang w:val="en-US"/>
                          </w:rPr>
                        </m:ctrlPr>
                      </m:radPr>
                      <m:deg/>
                      <m:e>
                        <m:sSub>
                          <m:sSubPr>
                            <m:ctrlPr>
                              <w:rPr>
                                <w:rFonts w:ascii="Cambria Math" w:eastAsia="宋体" w:hAnsi="Cambria Math" w:cs="Times New Roman"/>
                                <w:szCs w:val="24"/>
                                <w:lang w:val="en-US"/>
                              </w:rPr>
                            </m:ctrlPr>
                          </m:sSubPr>
                          <m:e>
                            <m:acc>
                              <m:accPr>
                                <m:ctrlPr>
                                  <w:rPr>
                                    <w:rFonts w:ascii="Cambria Math" w:eastAsia="宋体" w:hAnsi="Cambria Math" w:cs="Times New Roman"/>
                                    <w:szCs w:val="24"/>
                                    <w:lang w:val="en-US"/>
                                  </w:rPr>
                                </m:ctrlPr>
                              </m:accPr>
                              <m:e>
                                <m:r>
                                  <m:rPr>
                                    <m:scr m:val="double-struck"/>
                                    <m:sty m:val="p"/>
                                  </m:rPr>
                                  <w:rPr>
                                    <w:rFonts w:ascii="Cambria Math" w:eastAsia="宋体" w:hAnsi="Cambria Math" w:cs="Times New Roman"/>
                                    <w:szCs w:val="24"/>
                                    <w:lang w:val="en-US"/>
                                  </w:rPr>
                                  <m:t>v</m:t>
                                </m:r>
                              </m:e>
                            </m:acc>
                          </m:e>
                          <m:sub>
                            <m:r>
                              <m:rPr>
                                <m:scr m:val="fraktur"/>
                                <m:sty m:val="p"/>
                              </m:rPr>
                              <w:rPr>
                                <w:rFonts w:ascii="Cambria Math" w:eastAsia="宋体" w:hAnsi="Cambria Math" w:cs="Times New Roman"/>
                                <w:szCs w:val="24"/>
                                <w:lang w:val="en-US"/>
                              </w:rPr>
                              <m:t>t</m:t>
                            </m:r>
                          </m:sub>
                        </m:sSub>
                        <m:r>
                          <m:rPr>
                            <m:sty m:val="p"/>
                          </m:rPr>
                          <w:rPr>
                            <w:rFonts w:ascii="Cambria Math" w:eastAsia="宋体" w:hAnsi="Cambria Math" w:cs="Times New Roman"/>
                            <w:szCs w:val="24"/>
                            <w:lang w:val="en-US"/>
                          </w:rPr>
                          <m:t>+</m:t>
                        </m:r>
                        <m:r>
                          <w:rPr>
                            <w:rFonts w:ascii="Cambria Math" w:eastAsia="宋体" w:hAnsi="Cambria Math" w:cs="Times New Roman"/>
                            <w:szCs w:val="24"/>
                            <w:lang w:val="en-US"/>
                          </w:rPr>
                          <m:t>ϵ</m:t>
                        </m:r>
                      </m:e>
                    </m:rad>
                  </m:den>
                </m:f>
              </m:oMath>
            </m:oMathPara>
          </w:p>
        </w:tc>
        <w:tc>
          <w:tcPr>
            <w:tcW w:w="261" w:type="dxa"/>
            <w:vAlign w:val="center"/>
          </w:tcPr>
          <w:p w14:paraId="29D5B0CC"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right"/>
              <w:rPr>
                <w:rFonts w:ascii="Times New Roman" w:eastAsia="Times New Roman" w:hAnsi="Times New Roman" w:cs="Times New Roman"/>
                <w:kern w:val="2"/>
                <w:szCs w:val="24"/>
                <w:lang w:bidi="ta-IN"/>
              </w:rPr>
            </w:pPr>
            <w:r w:rsidRPr="00C76262">
              <w:rPr>
                <w:rFonts w:ascii="Times New Roman" w:eastAsia="Times New Roman" w:hAnsi="Times New Roman" w:cs="Times New Roman"/>
                <w:kern w:val="2"/>
                <w:szCs w:val="24"/>
                <w:lang w:bidi="ta-IN"/>
              </w:rPr>
              <w:t>(</w:t>
            </w:r>
            <w:r w:rsidRPr="00C76262">
              <w:rPr>
                <w:rFonts w:ascii="Times New Roman" w:eastAsiaTheme="minorEastAsia" w:hAnsi="Times New Roman" w:cs="Times New Roman"/>
                <w:kern w:val="2"/>
                <w:szCs w:val="24"/>
                <w:lang w:eastAsia="zh-CN" w:bidi="ta-IN"/>
              </w:rPr>
              <w:t>2</w:t>
            </w:r>
            <w:r w:rsidRPr="00C76262">
              <w:rPr>
                <w:rFonts w:ascii="Times New Roman" w:eastAsia="Times New Roman" w:hAnsi="Times New Roman" w:cs="Times New Roman"/>
                <w:kern w:val="2"/>
                <w:szCs w:val="24"/>
                <w:lang w:bidi="ta-IN"/>
              </w:rPr>
              <w:t>)</w:t>
            </w:r>
          </w:p>
        </w:tc>
      </w:tr>
    </w:tbl>
    <w:p w14:paraId="55E9BDF6" w14:textId="77777777" w:rsidR="00FF2923" w:rsidRPr="00C76262" w:rsidRDefault="00000000">
      <w:pPr>
        <w:widowControl w:val="0"/>
        <w:adjustRightInd w:val="0"/>
        <w:snapToGrid w:val="0"/>
        <w:spacing w:after="0" w:line="288" w:lineRule="auto"/>
        <w:ind w:left="2948"/>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Where </w:t>
      </w:r>
      <m:oMath>
        <m:sSub>
          <m:sSubPr>
            <m:ctrlPr>
              <w:rPr>
                <w:rFonts w:ascii="Cambria Math" w:eastAsia="宋体" w:hAnsi="Cambria Math" w:cs="Times New Roman"/>
                <w:szCs w:val="24"/>
                <w:lang w:val="en-US"/>
              </w:rPr>
            </m:ctrlPr>
          </m:sSubPr>
          <m:e>
            <m:r>
              <m:rPr>
                <m:scr m:val="double-struck"/>
                <m:sty m:val="p"/>
              </m:rPr>
              <w:rPr>
                <w:rFonts w:ascii="Cambria Math" w:eastAsia="宋体" w:hAnsi="Cambria Math" w:cs="Times New Roman"/>
                <w:szCs w:val="24"/>
                <w:lang w:val="en-US"/>
              </w:rPr>
              <m:t>W</m:t>
            </m:r>
          </m:e>
          <m:sub>
            <m:r>
              <m:rPr>
                <m:scr m:val="fraktur"/>
                <m:sty m:val="p"/>
              </m:rPr>
              <w:rPr>
                <w:rFonts w:ascii="Cambria Math" w:eastAsia="宋体" w:hAnsi="Cambria Math" w:cs="Times New Roman"/>
                <w:szCs w:val="24"/>
                <w:lang w:val="en-US"/>
              </w:rPr>
              <m:t>t</m:t>
            </m:r>
          </m:sub>
        </m:sSub>
      </m:oMath>
      <w:r w:rsidRPr="00C76262">
        <w:rPr>
          <w:rFonts w:ascii="Times New Roman" w:eastAsia="宋体" w:hAnsi="Times New Roman" w:cs="Times New Roman"/>
          <w:szCs w:val="24"/>
          <w:lang w:val="en-US"/>
        </w:rPr>
        <w:t xml:space="preserve"> is updated at each step based on previous values, learning rate </w:t>
      </w:r>
      <m:oMath>
        <m:r>
          <w:rPr>
            <w:rFonts w:ascii="Cambria Math" w:eastAsia="宋体" w:hAnsi="Cambria Math" w:cs="Times New Roman"/>
            <w:szCs w:val="24"/>
            <w:lang w:val="en-US"/>
          </w:rPr>
          <m:t>μ</m:t>
        </m:r>
      </m:oMath>
      <w:r w:rsidRPr="00C76262">
        <w:rPr>
          <w:rFonts w:ascii="Times New Roman" w:eastAsia="宋体" w:hAnsi="Times New Roman" w:cs="Times New Roman"/>
          <w:szCs w:val="24"/>
          <w:lang w:val="en-US"/>
        </w:rPr>
        <w:t xml:space="preserve">, and gradient estimates </w:t>
      </w:r>
      <m:oMath>
        <m:sSub>
          <m:sSubPr>
            <m:ctrlPr>
              <w:rPr>
                <w:rFonts w:ascii="Cambria Math" w:eastAsia="宋体" w:hAnsi="Cambria Math" w:cs="Times New Roman"/>
                <w:szCs w:val="24"/>
                <w:lang w:val="en-US"/>
              </w:rPr>
            </m:ctrlPr>
          </m:sSubPr>
          <m:e>
            <m:r>
              <m:rPr>
                <m:scr m:val="fraktur"/>
                <m:sty m:val="p"/>
              </m:rPr>
              <w:rPr>
                <w:rFonts w:ascii="Cambria Math" w:eastAsia="宋体" w:hAnsi="Cambria Math" w:cs="Times New Roman"/>
                <w:szCs w:val="24"/>
                <w:lang w:val="en-US"/>
              </w:rPr>
              <m:t>m</m:t>
            </m:r>
          </m:e>
          <m:sub>
            <m:r>
              <m:rPr>
                <m:scr m:val="fraktur"/>
                <m:sty m:val="p"/>
              </m:rPr>
              <w:rPr>
                <w:rFonts w:ascii="Cambria Math" w:eastAsia="宋体" w:hAnsi="Cambria Math" w:cs="Times New Roman"/>
                <w:szCs w:val="24"/>
                <w:lang w:val="en-US"/>
              </w:rPr>
              <m:t>t</m:t>
            </m:r>
          </m:sub>
        </m:sSub>
      </m:oMath>
      <w:r w:rsidRPr="00C76262">
        <w:rPr>
          <w:rFonts w:ascii="Times New Roman" w:eastAsia="宋体" w:hAnsi="Times New Roman" w:cs="Times New Roman"/>
          <w:szCs w:val="24"/>
          <w:lang w:val="en-US"/>
        </w:rPr>
        <w:t xml:space="preserve"> and </w:t>
      </w:r>
      <m:oMath>
        <m:sSub>
          <m:sSubPr>
            <m:ctrlPr>
              <w:rPr>
                <w:rFonts w:ascii="Cambria Math" w:eastAsia="宋体" w:hAnsi="Cambria Math" w:cs="Times New Roman"/>
                <w:szCs w:val="24"/>
                <w:lang w:val="en-US"/>
              </w:rPr>
            </m:ctrlPr>
          </m:sSubPr>
          <m:e>
            <m:r>
              <m:rPr>
                <m:scr m:val="double-struck"/>
                <m:sty m:val="p"/>
              </m:rPr>
              <w:rPr>
                <w:rFonts w:ascii="Cambria Math" w:eastAsia="宋体" w:hAnsi="Cambria Math" w:cs="Times New Roman"/>
                <w:szCs w:val="24"/>
                <w:lang w:val="en-US"/>
              </w:rPr>
              <m:t>v</m:t>
            </m:r>
          </m:e>
          <m:sub>
            <m:r>
              <m:rPr>
                <m:scr m:val="fraktur"/>
                <m:sty m:val="p"/>
              </m:rPr>
              <w:rPr>
                <w:rFonts w:ascii="Cambria Math" w:eastAsia="宋体" w:hAnsi="Cambria Math" w:cs="Times New Roman"/>
                <w:szCs w:val="24"/>
                <w:lang w:val="en-US"/>
              </w:rPr>
              <m:t>t</m:t>
            </m:r>
          </m:sub>
        </m:sSub>
      </m:oMath>
      <w:r w:rsidRPr="00C76262">
        <w:rPr>
          <w:rFonts w:ascii="Times New Roman" w:eastAsia="宋体" w:hAnsi="Times New Roman" w:cs="Times New Roman"/>
          <w:szCs w:val="24"/>
          <w:lang w:val="en-US"/>
        </w:rPr>
        <w:t xml:space="preserve">. We introduced the uncertainty-scaled learning rate used to adjust the learning based on the predicted uncertainty. It’s defined using Equation (3): </w:t>
      </w:r>
    </w:p>
    <w:tbl>
      <w:tblPr>
        <w:tblW w:w="7517" w:type="dxa"/>
        <w:tblInd w:w="2948" w:type="dxa"/>
        <w:tblLayout w:type="fixed"/>
        <w:tblCellMar>
          <w:left w:w="0" w:type="dxa"/>
          <w:right w:w="0" w:type="dxa"/>
        </w:tblCellMar>
        <w:tblLook w:val="04A0" w:firstRow="1" w:lastRow="0" w:firstColumn="1" w:lastColumn="0" w:noHBand="0" w:noVBand="1"/>
      </w:tblPr>
      <w:tblGrid>
        <w:gridCol w:w="7256"/>
        <w:gridCol w:w="261"/>
      </w:tblGrid>
      <w:tr w:rsidR="00FF2923" w:rsidRPr="00C76262" w14:paraId="00CE79D9" w14:textId="77777777">
        <w:tc>
          <w:tcPr>
            <w:tcW w:w="7256" w:type="dxa"/>
            <w:vAlign w:val="center"/>
          </w:tcPr>
          <w:p w14:paraId="032957BE"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center"/>
              <w:rPr>
                <w:rFonts w:ascii="Cambria Math" w:eastAsia="Times New Roman" w:hAnsi="Cambria Math" w:cs="Times New Roman"/>
                <w:oMath/>
              </w:rPr>
            </w:pPr>
            <m:oMathPara>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μ</m:t>
                    </m:r>
                  </m:e>
                  <m:sub>
                    <m:r>
                      <m:rPr>
                        <m:scr m:val="fraktur"/>
                        <m:sty m:val="p"/>
                      </m:rPr>
                      <w:rPr>
                        <w:rFonts w:ascii="Cambria Math" w:eastAsia="宋体" w:hAnsi="Cambria Math" w:cs="Times New Roman"/>
                        <w:szCs w:val="24"/>
                        <w:lang w:val="en-US"/>
                      </w:rPr>
                      <m:t>i</m:t>
                    </m:r>
                  </m:sub>
                </m:sSub>
                <m:r>
                  <m:rPr>
                    <m:sty m:val="p"/>
                  </m:rP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μ</m:t>
                    </m:r>
                  </m:e>
                  <m:sub>
                    <m:r>
                      <m:rPr>
                        <m:sty m:val="p"/>
                      </m:rPr>
                      <w:rPr>
                        <w:rFonts w:ascii="Cambria Math" w:eastAsia="宋体" w:hAnsi="Cambria Math" w:cs="Times New Roman"/>
                        <w:szCs w:val="24"/>
                        <w:lang w:val="en-US"/>
                      </w:rPr>
                      <m:t>0</m:t>
                    </m:r>
                  </m:sub>
                </m:sSub>
                <m:r>
                  <m:rPr>
                    <m:sty m:val="p"/>
                  </m:rPr>
                  <w:rPr>
                    <w:rFonts w:ascii="Cambria Math" w:eastAsia="宋体" w:hAnsi="Cambria Math" w:cs="Times New Roman"/>
                    <w:szCs w:val="24"/>
                    <w:lang w:val="en-US"/>
                  </w:rPr>
                  <m:t>∙(1-</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σ</m:t>
                    </m:r>
                  </m:e>
                  <m:sub>
                    <m:r>
                      <m:rPr>
                        <m:scr m:val="fraktur"/>
                        <m:sty m:val="p"/>
                      </m:rPr>
                      <w:rPr>
                        <w:rFonts w:ascii="Cambria Math" w:eastAsia="宋体" w:hAnsi="Cambria Math" w:cs="Times New Roman"/>
                        <w:szCs w:val="24"/>
                        <w:lang w:val="en-US"/>
                      </w:rPr>
                      <m:t>i</m:t>
                    </m:r>
                  </m:sub>
                </m:sSub>
                <m:r>
                  <m:rPr>
                    <m:sty m:val="p"/>
                  </m:rPr>
                  <w:rPr>
                    <w:rFonts w:ascii="Cambria Math" w:eastAsia="宋体" w:hAnsi="Cambria Math" w:cs="Times New Roman"/>
                    <w:szCs w:val="24"/>
                    <w:lang w:val="en-US"/>
                  </w:rPr>
                  <m:t>)</m:t>
                </m:r>
              </m:oMath>
            </m:oMathPara>
          </w:p>
        </w:tc>
        <w:tc>
          <w:tcPr>
            <w:tcW w:w="261" w:type="dxa"/>
            <w:vAlign w:val="center"/>
          </w:tcPr>
          <w:p w14:paraId="6417D18A"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right"/>
              <w:rPr>
                <w:rFonts w:ascii="Times New Roman" w:eastAsia="Times New Roman" w:hAnsi="Times New Roman" w:cs="Times New Roman"/>
                <w:kern w:val="2"/>
                <w:szCs w:val="24"/>
                <w:lang w:bidi="ta-IN"/>
              </w:rPr>
            </w:pPr>
            <w:r w:rsidRPr="00C76262">
              <w:rPr>
                <w:rFonts w:ascii="Times New Roman" w:eastAsia="Times New Roman" w:hAnsi="Times New Roman" w:cs="Times New Roman"/>
                <w:kern w:val="2"/>
                <w:szCs w:val="24"/>
                <w:lang w:bidi="ta-IN"/>
              </w:rPr>
              <w:t>(</w:t>
            </w:r>
            <w:r w:rsidRPr="00C76262">
              <w:rPr>
                <w:rFonts w:ascii="Times New Roman" w:eastAsiaTheme="minorEastAsia" w:hAnsi="Times New Roman" w:cs="Times New Roman"/>
                <w:kern w:val="2"/>
                <w:szCs w:val="24"/>
                <w:lang w:eastAsia="zh-CN" w:bidi="ta-IN"/>
              </w:rPr>
              <w:t>3</w:t>
            </w:r>
            <w:r w:rsidRPr="00C76262">
              <w:rPr>
                <w:rFonts w:ascii="Times New Roman" w:eastAsia="Times New Roman" w:hAnsi="Times New Roman" w:cs="Times New Roman"/>
                <w:kern w:val="2"/>
                <w:szCs w:val="24"/>
                <w:lang w:bidi="ta-IN"/>
              </w:rPr>
              <w:t>)</w:t>
            </w:r>
          </w:p>
        </w:tc>
      </w:tr>
    </w:tbl>
    <w:p w14:paraId="0C2534BB" w14:textId="77777777" w:rsidR="00FF2923" w:rsidRPr="00C76262" w:rsidRDefault="00000000">
      <w:pPr>
        <w:widowControl w:val="0"/>
        <w:adjustRightInd w:val="0"/>
        <w:snapToGrid w:val="0"/>
        <w:spacing w:after="0" w:line="288" w:lineRule="auto"/>
        <w:ind w:left="2948"/>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Where </w:t>
      </w:r>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σ</m:t>
            </m:r>
          </m:e>
          <m:sub>
            <m:r>
              <m:rPr>
                <m:scr m:val="fraktur"/>
                <m:sty m:val="p"/>
              </m:rPr>
              <w:rPr>
                <w:rFonts w:ascii="Cambria Math" w:eastAsia="宋体" w:hAnsi="Cambria Math" w:cs="Times New Roman"/>
                <w:szCs w:val="24"/>
                <w:lang w:val="en-US"/>
              </w:rPr>
              <m:t>i</m:t>
            </m:r>
          </m:sub>
        </m:sSub>
      </m:oMath>
      <w:r w:rsidRPr="00C76262">
        <w:rPr>
          <w:rFonts w:ascii="Times New Roman" w:eastAsia="宋体" w:hAnsi="Times New Roman" w:cs="Times New Roman"/>
          <w:szCs w:val="24"/>
          <w:lang w:val="en-US"/>
        </w:rPr>
        <w:t xml:space="preserve"> is the uncertainty estimate for the sample </w:t>
      </w:r>
      <m:oMath>
        <m:r>
          <m:rPr>
            <m:scr m:val="fraktur"/>
          </m:rPr>
          <w:rPr>
            <w:rFonts w:ascii="Cambria Math" w:eastAsia="宋体" w:hAnsi="Cambria Math" w:cs="Times New Roman"/>
            <w:szCs w:val="24"/>
            <w:lang w:val="en-US"/>
          </w:rPr>
          <m:t>i</m:t>
        </m:r>
      </m:oMath>
      <w:r w:rsidRPr="00C76262">
        <w:rPr>
          <w:rFonts w:ascii="Times New Roman" w:eastAsia="宋体" w:hAnsi="Times New Roman" w:cs="Times New Roman"/>
          <w:szCs w:val="24"/>
          <w:lang w:val="en-US"/>
        </w:rPr>
        <w:t xml:space="preserve">, calculated using MCD. To estimate predictive uncertainty, MCD is employed during inference by maintaining active dropout layers and performing multiple stochastic forward passes for the same histopathological image. The predicted probability distributions obtained from these stochastic passes are utilized to compute the predictive mean and variance. The uncertainty </w:t>
      </w:r>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σ</m:t>
            </m:r>
          </m:e>
          <m:sub>
            <m:r>
              <w:rPr>
                <w:rFonts w:ascii="Cambria Math" w:eastAsia="宋体" w:hAnsi="Cambria Math" w:cs="Times New Roman"/>
                <w:szCs w:val="24"/>
                <w:lang w:val="en-US"/>
              </w:rPr>
              <m:t>i</m:t>
            </m:r>
          </m:sub>
        </m:sSub>
      </m:oMath>
      <w:r w:rsidRPr="00C76262">
        <w:rPr>
          <w:rFonts w:ascii="Times New Roman" w:eastAsia="宋体" w:hAnsi="Times New Roman" w:cs="Times New Roman"/>
          <w:szCs w:val="24"/>
          <w:lang w:val="en-US"/>
        </w:rPr>
        <w:t xml:space="preserve"> is estimated as the variance of the predicted class probabilities across the Monte Carlo samples, as denoted in Equation (4).</w:t>
      </w:r>
    </w:p>
    <w:tbl>
      <w:tblPr>
        <w:tblW w:w="7517" w:type="dxa"/>
        <w:tblInd w:w="2948" w:type="dxa"/>
        <w:tblLayout w:type="fixed"/>
        <w:tblCellMar>
          <w:left w:w="0" w:type="dxa"/>
          <w:right w:w="0" w:type="dxa"/>
        </w:tblCellMar>
        <w:tblLook w:val="04A0" w:firstRow="1" w:lastRow="0" w:firstColumn="1" w:lastColumn="0" w:noHBand="0" w:noVBand="1"/>
      </w:tblPr>
      <w:tblGrid>
        <w:gridCol w:w="7256"/>
        <w:gridCol w:w="261"/>
      </w:tblGrid>
      <w:tr w:rsidR="00FF2923" w:rsidRPr="00C76262" w14:paraId="72A6165D" w14:textId="77777777">
        <w:tc>
          <w:tcPr>
            <w:tcW w:w="7256" w:type="dxa"/>
            <w:vAlign w:val="center"/>
          </w:tcPr>
          <w:p w14:paraId="0A649493"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center"/>
              <w:rPr>
                <w:rFonts w:ascii="Cambria Math" w:eastAsia="Times New Roman" w:hAnsi="Cambria Math" w:cs="Times New Roman"/>
                <w:oMath/>
              </w:rPr>
            </w:pPr>
            <m:oMathPara>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σ</m:t>
                    </m:r>
                  </m:e>
                  <m:sub>
                    <m:r>
                      <m:rPr>
                        <m:scr m:val="fraktur"/>
                        <m:sty m:val="p"/>
                      </m:rPr>
                      <w:rPr>
                        <w:rFonts w:ascii="Cambria Math" w:eastAsia="宋体" w:hAnsi="Cambria Math" w:cs="Times New Roman"/>
                        <w:szCs w:val="24"/>
                        <w:lang w:val="en-US"/>
                      </w:rPr>
                      <m:t>i</m:t>
                    </m:r>
                  </m:sub>
                </m:sSub>
                <m:r>
                  <w:rPr>
                    <w:rFonts w:ascii="Cambria Math" w:eastAsia="宋体" w:hAnsi="Cambria Math" w:cs="Times New Roman"/>
                    <w:szCs w:val="24"/>
                    <w:lang w:val="en-US"/>
                  </w:rPr>
                  <m:t>=</m:t>
                </m:r>
                <m:r>
                  <m:rPr>
                    <m:nor/>
                  </m:rPr>
                  <w:rPr>
                    <w:rFonts w:ascii="Times New Roman" w:eastAsia="宋体" w:hAnsi="Times New Roman" w:cs="Times New Roman"/>
                    <w:szCs w:val="24"/>
                    <w:lang w:val="en-US"/>
                  </w:rPr>
                  <m:t>Var</m:t>
                </m:r>
                <m:r>
                  <w:rPr>
                    <w:rFonts w:ascii="Cambria Math" w:eastAsia="宋体" w:hAnsi="Cambria Math" w:cs="Times New Roman"/>
                    <w:szCs w:val="24"/>
                    <w:lang w:val="en-US"/>
                  </w:rPr>
                  <m:t>(</m:t>
                </m:r>
                <m:sSubSup>
                  <m:sSubSupPr>
                    <m:ctrlPr>
                      <w:rPr>
                        <w:rFonts w:ascii="Cambria Math" w:eastAsia="宋体" w:hAnsi="Cambria Math" w:cs="Times New Roman"/>
                        <w:szCs w:val="24"/>
                        <w:lang w:val="en-US"/>
                      </w:rPr>
                    </m:ctrlPr>
                  </m:sSubSupPr>
                  <m:e>
                    <m:r>
                      <w:rPr>
                        <w:rFonts w:ascii="Cambria Math" w:eastAsia="宋体" w:hAnsi="Cambria Math" w:cs="Times New Roman"/>
                        <w:szCs w:val="24"/>
                        <w:lang w:val="en-US"/>
                      </w:rPr>
                      <m:t>p</m:t>
                    </m:r>
                  </m:e>
                  <m:sub>
                    <m:r>
                      <w:rPr>
                        <w:rFonts w:ascii="Cambria Math" w:eastAsia="宋体" w:hAnsi="Cambria Math" w:cs="Times New Roman"/>
                        <w:szCs w:val="24"/>
                        <w:lang w:val="en-US"/>
                      </w:rPr>
                      <m:t>i</m:t>
                    </m:r>
                  </m:sub>
                  <m:sup>
                    <m:d>
                      <m:dPr>
                        <m:ctrlPr>
                          <w:rPr>
                            <w:rFonts w:ascii="Cambria Math" w:eastAsia="宋体" w:hAnsi="Cambria Math" w:cs="Times New Roman"/>
                            <w:szCs w:val="24"/>
                            <w:lang w:val="en-US"/>
                          </w:rPr>
                        </m:ctrlPr>
                      </m:dPr>
                      <m:e>
                        <m:r>
                          <w:rPr>
                            <w:rFonts w:ascii="Cambria Math" w:eastAsia="宋体" w:hAnsi="Cambria Math" w:cs="Times New Roman"/>
                            <w:szCs w:val="24"/>
                            <w:lang w:val="en-US"/>
                          </w:rPr>
                          <m:t>1</m:t>
                        </m:r>
                      </m:e>
                    </m:d>
                  </m:sup>
                </m:sSubSup>
                <m:r>
                  <w:rPr>
                    <w:rFonts w:ascii="Cambria Math" w:eastAsia="宋体" w:hAnsi="Cambria Math" w:cs="Times New Roman"/>
                    <w:szCs w:val="24"/>
                    <w:lang w:val="en-US"/>
                  </w:rPr>
                  <m:t>,</m:t>
                </m:r>
                <m:sSubSup>
                  <m:sSubSupPr>
                    <m:ctrlPr>
                      <w:rPr>
                        <w:rFonts w:ascii="Cambria Math" w:eastAsia="宋体" w:hAnsi="Cambria Math" w:cs="Times New Roman"/>
                        <w:szCs w:val="24"/>
                        <w:lang w:val="en-US"/>
                      </w:rPr>
                    </m:ctrlPr>
                  </m:sSubSupPr>
                  <m:e>
                    <m:r>
                      <w:rPr>
                        <w:rFonts w:ascii="Cambria Math" w:eastAsia="宋体" w:hAnsi="Cambria Math" w:cs="Times New Roman"/>
                        <w:szCs w:val="24"/>
                        <w:lang w:val="en-US"/>
                      </w:rPr>
                      <m:t>p</m:t>
                    </m:r>
                  </m:e>
                  <m:sub>
                    <m:r>
                      <w:rPr>
                        <w:rFonts w:ascii="Cambria Math" w:eastAsia="宋体" w:hAnsi="Cambria Math" w:cs="Times New Roman"/>
                        <w:szCs w:val="24"/>
                        <w:lang w:val="en-US"/>
                      </w:rPr>
                      <m:t>i</m:t>
                    </m:r>
                  </m:sub>
                  <m:sup>
                    <m:d>
                      <m:dPr>
                        <m:ctrlPr>
                          <w:rPr>
                            <w:rFonts w:ascii="Cambria Math" w:eastAsia="宋体" w:hAnsi="Cambria Math" w:cs="Times New Roman"/>
                            <w:szCs w:val="24"/>
                            <w:lang w:val="en-US"/>
                          </w:rPr>
                        </m:ctrlPr>
                      </m:dPr>
                      <m:e>
                        <m:r>
                          <w:rPr>
                            <w:rFonts w:ascii="Cambria Math" w:eastAsia="宋体" w:hAnsi="Cambria Math" w:cs="Times New Roman"/>
                            <w:szCs w:val="24"/>
                            <w:lang w:val="en-US"/>
                          </w:rPr>
                          <m:t>2</m:t>
                        </m:r>
                      </m:e>
                    </m:d>
                  </m:sup>
                </m:sSubSup>
                <m:r>
                  <w:rPr>
                    <w:rFonts w:ascii="Cambria Math" w:eastAsia="宋体" w:hAnsi="Cambria Math" w:cs="Times New Roman"/>
                    <w:szCs w:val="24"/>
                    <w:lang w:val="en-US"/>
                  </w:rPr>
                  <m:t>,…,</m:t>
                </m:r>
                <m:sSubSup>
                  <m:sSubSupPr>
                    <m:ctrlPr>
                      <w:rPr>
                        <w:rFonts w:ascii="Cambria Math" w:eastAsia="宋体" w:hAnsi="Cambria Math" w:cs="Times New Roman"/>
                        <w:szCs w:val="24"/>
                        <w:lang w:val="en-US"/>
                      </w:rPr>
                    </m:ctrlPr>
                  </m:sSubSupPr>
                  <m:e>
                    <m:r>
                      <w:rPr>
                        <w:rFonts w:ascii="Cambria Math" w:eastAsia="宋体" w:hAnsi="Cambria Math" w:cs="Times New Roman"/>
                        <w:szCs w:val="24"/>
                        <w:lang w:val="en-US"/>
                      </w:rPr>
                      <m:t>p</m:t>
                    </m:r>
                  </m:e>
                  <m:sub>
                    <m:r>
                      <w:rPr>
                        <w:rFonts w:ascii="Cambria Math" w:eastAsia="宋体" w:hAnsi="Cambria Math" w:cs="Times New Roman"/>
                        <w:szCs w:val="24"/>
                        <w:lang w:val="en-US"/>
                      </w:rPr>
                      <m:t>i</m:t>
                    </m:r>
                  </m:sub>
                  <m:sup>
                    <m:d>
                      <m:dPr>
                        <m:ctrlPr>
                          <w:rPr>
                            <w:rFonts w:ascii="Cambria Math" w:eastAsia="宋体" w:hAnsi="Cambria Math" w:cs="Times New Roman"/>
                            <w:szCs w:val="24"/>
                            <w:lang w:val="en-US"/>
                          </w:rPr>
                        </m:ctrlPr>
                      </m:dPr>
                      <m:e>
                        <m:r>
                          <w:rPr>
                            <w:rFonts w:ascii="Cambria Math" w:eastAsia="宋体" w:hAnsi="Cambria Math" w:cs="Times New Roman"/>
                            <w:szCs w:val="24"/>
                            <w:lang w:val="en-US"/>
                          </w:rPr>
                          <m:t>N</m:t>
                        </m:r>
                      </m:e>
                    </m:d>
                  </m:sup>
                </m:sSubSup>
                <m:r>
                  <w:rPr>
                    <w:rFonts w:ascii="Cambria Math" w:eastAsia="宋体" w:hAnsi="Cambria Math" w:cs="Times New Roman"/>
                    <w:szCs w:val="24"/>
                    <w:lang w:val="en-US"/>
                  </w:rPr>
                  <m:t>)</m:t>
                </m:r>
              </m:oMath>
            </m:oMathPara>
          </w:p>
        </w:tc>
        <w:tc>
          <w:tcPr>
            <w:tcW w:w="261" w:type="dxa"/>
            <w:vAlign w:val="center"/>
          </w:tcPr>
          <w:p w14:paraId="4FA47194"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right"/>
              <w:rPr>
                <w:rFonts w:ascii="Times New Roman" w:eastAsia="Times New Roman" w:hAnsi="Times New Roman" w:cs="Times New Roman"/>
                <w:kern w:val="2"/>
                <w:szCs w:val="24"/>
                <w:lang w:bidi="ta-IN"/>
              </w:rPr>
            </w:pPr>
            <w:r w:rsidRPr="00C76262">
              <w:rPr>
                <w:rFonts w:ascii="Times New Roman" w:eastAsia="Times New Roman" w:hAnsi="Times New Roman" w:cs="Times New Roman"/>
                <w:kern w:val="2"/>
                <w:szCs w:val="24"/>
                <w:lang w:bidi="ta-IN"/>
              </w:rPr>
              <w:t>(</w:t>
            </w:r>
            <w:r w:rsidRPr="00C76262">
              <w:rPr>
                <w:rFonts w:ascii="Times New Roman" w:eastAsiaTheme="minorEastAsia" w:hAnsi="Times New Roman" w:cs="Times New Roman"/>
                <w:kern w:val="2"/>
                <w:szCs w:val="24"/>
                <w:lang w:eastAsia="zh-CN" w:bidi="ta-IN"/>
              </w:rPr>
              <w:t>4</w:t>
            </w:r>
            <w:r w:rsidRPr="00C76262">
              <w:rPr>
                <w:rFonts w:ascii="Times New Roman" w:eastAsia="Times New Roman" w:hAnsi="Times New Roman" w:cs="Times New Roman"/>
                <w:kern w:val="2"/>
                <w:szCs w:val="24"/>
                <w:lang w:bidi="ta-IN"/>
              </w:rPr>
              <w:t>)</w:t>
            </w:r>
          </w:p>
        </w:tc>
      </w:tr>
    </w:tbl>
    <w:p w14:paraId="68B4DCFA" w14:textId="77777777" w:rsidR="00FF2923" w:rsidRPr="00C76262" w:rsidRDefault="00000000">
      <w:pPr>
        <w:widowControl w:val="0"/>
        <w:adjustRightInd w:val="0"/>
        <w:snapToGrid w:val="0"/>
        <w:spacing w:after="0" w:line="288" w:lineRule="auto"/>
        <w:ind w:left="2948"/>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Where, </w:t>
      </w:r>
      <m:oMath>
        <m:sSubSup>
          <m:sSubSupPr>
            <m:ctrlPr>
              <w:rPr>
                <w:rFonts w:ascii="Cambria Math" w:eastAsia="宋体" w:hAnsi="Cambria Math" w:cs="Times New Roman"/>
                <w:szCs w:val="24"/>
                <w:lang w:val="en-US"/>
              </w:rPr>
            </m:ctrlPr>
          </m:sSubSupPr>
          <m:e>
            <m:r>
              <w:rPr>
                <w:rFonts w:ascii="Cambria Math" w:eastAsia="宋体" w:hAnsi="Cambria Math" w:cs="Times New Roman"/>
                <w:szCs w:val="24"/>
                <w:lang w:val="en-US"/>
              </w:rPr>
              <m:t>p</m:t>
            </m:r>
          </m:e>
          <m:sub>
            <m:r>
              <w:rPr>
                <w:rFonts w:ascii="Cambria Math" w:eastAsia="宋体" w:hAnsi="Cambria Math" w:cs="Times New Roman"/>
                <w:szCs w:val="24"/>
                <w:lang w:val="en-US"/>
              </w:rPr>
              <m:t>i</m:t>
            </m:r>
          </m:sub>
          <m:sup>
            <m:d>
              <m:dPr>
                <m:ctrlPr>
                  <w:rPr>
                    <w:rFonts w:ascii="Cambria Math" w:eastAsia="宋体" w:hAnsi="Cambria Math" w:cs="Times New Roman"/>
                    <w:szCs w:val="24"/>
                    <w:lang w:val="en-US"/>
                  </w:rPr>
                </m:ctrlPr>
              </m:dPr>
              <m:e>
                <m:r>
                  <w:rPr>
                    <w:rFonts w:ascii="Cambria Math" w:eastAsia="宋体" w:hAnsi="Cambria Math" w:cs="Times New Roman"/>
                    <w:szCs w:val="24"/>
                    <w:lang w:val="en-US"/>
                  </w:rPr>
                  <m:t>k</m:t>
                </m:r>
              </m:e>
            </m:d>
          </m:sup>
        </m:sSubSup>
      </m:oMath>
      <w:r w:rsidRPr="00C76262">
        <w:rPr>
          <w:rFonts w:ascii="Times New Roman" w:eastAsia="宋体" w:hAnsi="Times New Roman" w:cs="Times New Roman"/>
          <w:szCs w:val="24"/>
          <w:lang w:val="en-US"/>
        </w:rPr>
        <w:t xml:space="preserve"> denotes the predicted probability obtained from the </w:t>
      </w:r>
      <m:oMath>
        <m:sSup>
          <m:sSupPr>
            <m:ctrlPr>
              <w:rPr>
                <w:rFonts w:ascii="Cambria Math" w:eastAsia="宋体" w:hAnsi="Cambria Math" w:cs="Times New Roman"/>
                <w:szCs w:val="24"/>
                <w:lang w:val="en-US"/>
              </w:rPr>
            </m:ctrlPr>
          </m:sSupPr>
          <m:e>
            <m:r>
              <w:rPr>
                <w:rFonts w:ascii="Cambria Math" w:eastAsia="宋体" w:hAnsi="Cambria Math" w:cs="Times New Roman"/>
                <w:szCs w:val="24"/>
                <w:lang w:val="en-US"/>
              </w:rPr>
              <m:t>k</m:t>
            </m:r>
          </m:e>
          <m:sup>
            <m:r>
              <w:rPr>
                <w:rFonts w:ascii="Cambria Math" w:eastAsia="宋体" w:hAnsi="Cambria Math" w:cs="Times New Roman"/>
                <w:szCs w:val="24"/>
                <w:lang w:val="en-US"/>
              </w:rPr>
              <m:t>th</m:t>
            </m:r>
          </m:sup>
        </m:sSup>
      </m:oMath>
      <w:r w:rsidRPr="00C76262">
        <w:rPr>
          <w:rFonts w:ascii="Times New Roman" w:eastAsia="宋体" w:hAnsi="Times New Roman" w:cs="Times New Roman"/>
          <w:szCs w:val="24"/>
          <w:lang w:val="en-US"/>
        </w:rPr>
        <w:t xml:space="preserve"> stochastic forward pass and </w:t>
      </w:r>
      <m:oMath>
        <m:r>
          <w:rPr>
            <w:rFonts w:ascii="Cambria Math" w:eastAsia="宋体" w:hAnsi="Cambria Math" w:cs="Times New Roman"/>
            <w:szCs w:val="24"/>
            <w:lang w:val="en-US"/>
          </w:rPr>
          <m:t>N</m:t>
        </m:r>
      </m:oMath>
      <w:r w:rsidRPr="00C76262">
        <w:rPr>
          <w:rFonts w:ascii="Times New Roman" w:eastAsia="宋体" w:hAnsi="Times New Roman" w:cs="Times New Roman"/>
          <w:szCs w:val="24"/>
          <w:lang w:val="en-US"/>
        </w:rPr>
        <w:t xml:space="preserve"> represents the total number of Monte Carlo samples used during inference. Now, we replaced the baseline Adam optimizer’s learning rate with the developed uncertainty-scaled learning rate. As we have named, UAR-Adam optimizer, replaces the baseline optimizer’s usage with a dynamic pre-sample learning rate scaled by uncertainty. The UAR-Adam optimizer is given in Equation (5): </w:t>
      </w:r>
    </w:p>
    <w:tbl>
      <w:tblPr>
        <w:tblW w:w="7517" w:type="dxa"/>
        <w:tblInd w:w="2948" w:type="dxa"/>
        <w:tblLayout w:type="fixed"/>
        <w:tblCellMar>
          <w:left w:w="0" w:type="dxa"/>
          <w:right w:w="0" w:type="dxa"/>
        </w:tblCellMar>
        <w:tblLook w:val="04A0" w:firstRow="1" w:lastRow="0" w:firstColumn="1" w:lastColumn="0" w:noHBand="0" w:noVBand="1"/>
      </w:tblPr>
      <w:tblGrid>
        <w:gridCol w:w="7256"/>
        <w:gridCol w:w="261"/>
      </w:tblGrid>
      <w:tr w:rsidR="00FF2923" w:rsidRPr="00C76262" w14:paraId="527F6BAA" w14:textId="77777777">
        <w:tc>
          <w:tcPr>
            <w:tcW w:w="7256" w:type="dxa"/>
            <w:vAlign w:val="center"/>
          </w:tcPr>
          <w:p w14:paraId="7D8E51EF"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center"/>
              <w:rPr>
                <w:rFonts w:ascii="Cambria Math" w:eastAsia="Times New Roman" w:hAnsi="Cambria Math" w:cs="Times New Roman"/>
                <w:oMath/>
              </w:rPr>
            </w:pPr>
            <m:oMathPara>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A</m:t>
                    </m:r>
                  </m:e>
                  <m:sub>
                    <m:r>
                      <m:rPr>
                        <m:scr m:val="fraktur"/>
                        <m:sty m:val="p"/>
                      </m:rPr>
                      <w:rPr>
                        <w:rFonts w:ascii="Cambria Math" w:eastAsia="宋体" w:hAnsi="Cambria Math" w:cs="Times New Roman"/>
                        <w:szCs w:val="24"/>
                        <w:lang w:val="en-US"/>
                      </w:rPr>
                      <m:t>t</m:t>
                    </m:r>
                  </m:sub>
                </m:sSub>
                <m:r>
                  <m:rPr>
                    <m:sty m:val="p"/>
                  </m:rP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Z</m:t>
                    </m:r>
                  </m:e>
                  <m:sub>
                    <m:r>
                      <m:rPr>
                        <m:scr m:val="fraktur"/>
                        <m:sty m:val="p"/>
                      </m:rPr>
                      <w:rPr>
                        <w:rFonts w:ascii="Cambria Math" w:eastAsia="宋体" w:hAnsi="Cambria Math" w:cs="Times New Roman"/>
                        <w:szCs w:val="24"/>
                        <w:lang w:val="en-US"/>
                      </w:rPr>
                      <m:t>t-</m:t>
                    </m:r>
                    <m:r>
                      <m:rPr>
                        <m:sty m:val="p"/>
                      </m:rPr>
                      <w:rPr>
                        <w:rFonts w:ascii="Cambria Math" w:eastAsia="宋体" w:hAnsi="Cambria Math" w:cs="Times New Roman"/>
                        <w:szCs w:val="24"/>
                        <w:lang w:val="en-US"/>
                      </w:rPr>
                      <m:t>1</m:t>
                    </m:r>
                  </m:sub>
                </m:sSub>
                <m:r>
                  <m:rPr>
                    <m:sty m:val="p"/>
                  </m:rPr>
                  <w:rPr>
                    <w:rFonts w:ascii="Cambria Math" w:eastAsia="宋体" w:hAnsi="Cambria Math" w:cs="Times New Roman"/>
                    <w:szCs w:val="24"/>
                    <w:lang w:val="en-US"/>
                  </w:rPr>
                  <m:t>-</m:t>
                </m:r>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μ</m:t>
                    </m:r>
                  </m:e>
                  <m:sub>
                    <m:r>
                      <m:rPr>
                        <m:scr m:val="fraktur"/>
                        <m:sty m:val="p"/>
                      </m:rPr>
                      <w:rPr>
                        <w:rFonts w:ascii="Cambria Math" w:eastAsia="宋体" w:hAnsi="Cambria Math" w:cs="Times New Roman"/>
                        <w:szCs w:val="24"/>
                        <w:lang w:val="en-US"/>
                      </w:rPr>
                      <m:t>i</m:t>
                    </m:r>
                  </m:sub>
                </m:sSub>
                <m:f>
                  <m:fPr>
                    <m:ctrlPr>
                      <w:rPr>
                        <w:rFonts w:ascii="Cambria Math" w:eastAsia="宋体" w:hAnsi="Cambria Math" w:cs="Times New Roman"/>
                        <w:szCs w:val="24"/>
                        <w:lang w:val="en-US"/>
                      </w:rPr>
                    </m:ctrlPr>
                  </m:fPr>
                  <m:num>
                    <m:acc>
                      <m:accPr>
                        <m:ctrlPr>
                          <w:rPr>
                            <w:rFonts w:ascii="Cambria Math" w:eastAsia="宋体" w:hAnsi="Cambria Math" w:cs="Times New Roman"/>
                            <w:szCs w:val="24"/>
                            <w:lang w:val="en-US"/>
                          </w:rPr>
                        </m:ctrlPr>
                      </m:accPr>
                      <m:e>
                        <m:sSub>
                          <m:sSubPr>
                            <m:ctrlPr>
                              <w:rPr>
                                <w:rFonts w:ascii="Cambria Math" w:eastAsia="宋体" w:hAnsi="Cambria Math" w:cs="Times New Roman"/>
                                <w:szCs w:val="24"/>
                                <w:lang w:val="en-US"/>
                              </w:rPr>
                            </m:ctrlPr>
                          </m:sSubPr>
                          <m:e>
                            <m:r>
                              <m:rPr>
                                <m:scr m:val="fraktur"/>
                                <m:sty m:val="p"/>
                              </m:rPr>
                              <w:rPr>
                                <w:rFonts w:ascii="Cambria Math" w:eastAsia="宋体" w:hAnsi="Cambria Math" w:cs="Times New Roman"/>
                                <w:szCs w:val="24"/>
                                <w:lang w:val="en-US"/>
                              </w:rPr>
                              <m:t>m</m:t>
                            </m:r>
                          </m:e>
                          <m:sub>
                            <m:r>
                              <m:rPr>
                                <m:scr m:val="fraktur"/>
                                <m:sty m:val="p"/>
                              </m:rPr>
                              <w:rPr>
                                <w:rFonts w:ascii="Cambria Math" w:eastAsia="宋体" w:hAnsi="Cambria Math" w:cs="Times New Roman"/>
                                <w:szCs w:val="24"/>
                                <w:lang w:val="en-US"/>
                              </w:rPr>
                              <m:t>t</m:t>
                            </m:r>
                          </m:sub>
                        </m:sSub>
                      </m:e>
                    </m:acc>
                  </m:num>
                  <m:den>
                    <m:rad>
                      <m:radPr>
                        <m:degHide m:val="1"/>
                        <m:ctrlPr>
                          <w:rPr>
                            <w:rFonts w:ascii="Cambria Math" w:eastAsia="宋体" w:hAnsi="Cambria Math" w:cs="Times New Roman"/>
                            <w:szCs w:val="24"/>
                            <w:lang w:val="en-US"/>
                          </w:rPr>
                        </m:ctrlPr>
                      </m:radPr>
                      <m:deg/>
                      <m:e>
                        <m:sSub>
                          <m:sSubPr>
                            <m:ctrlPr>
                              <w:rPr>
                                <w:rFonts w:ascii="Cambria Math" w:eastAsia="宋体" w:hAnsi="Cambria Math" w:cs="Times New Roman"/>
                                <w:szCs w:val="24"/>
                                <w:lang w:val="en-US"/>
                              </w:rPr>
                            </m:ctrlPr>
                          </m:sSubPr>
                          <m:e>
                            <m:acc>
                              <m:accPr>
                                <m:ctrlPr>
                                  <w:rPr>
                                    <w:rFonts w:ascii="Cambria Math" w:eastAsia="宋体" w:hAnsi="Cambria Math" w:cs="Times New Roman"/>
                                    <w:szCs w:val="24"/>
                                    <w:lang w:val="en-US"/>
                                  </w:rPr>
                                </m:ctrlPr>
                              </m:accPr>
                              <m:e>
                                <m:r>
                                  <m:rPr>
                                    <m:scr m:val="double-struck"/>
                                    <m:sty m:val="p"/>
                                  </m:rPr>
                                  <w:rPr>
                                    <w:rFonts w:ascii="Cambria Math" w:eastAsia="宋体" w:hAnsi="Cambria Math" w:cs="Times New Roman"/>
                                    <w:szCs w:val="24"/>
                                    <w:lang w:val="en-US"/>
                                  </w:rPr>
                                  <m:t>v</m:t>
                                </m:r>
                              </m:e>
                            </m:acc>
                          </m:e>
                          <m:sub>
                            <m:r>
                              <m:rPr>
                                <m:scr m:val="fraktur"/>
                                <m:sty m:val="p"/>
                              </m:rPr>
                              <w:rPr>
                                <w:rFonts w:ascii="Cambria Math" w:eastAsia="宋体" w:hAnsi="Cambria Math" w:cs="Times New Roman"/>
                                <w:szCs w:val="24"/>
                                <w:lang w:val="en-US"/>
                              </w:rPr>
                              <m:t>t</m:t>
                            </m:r>
                          </m:sub>
                        </m:sSub>
                        <m:r>
                          <m:rPr>
                            <m:sty m:val="p"/>
                          </m:rPr>
                          <w:rPr>
                            <w:rFonts w:ascii="Cambria Math" w:eastAsia="宋体" w:hAnsi="Cambria Math" w:cs="Times New Roman"/>
                            <w:szCs w:val="24"/>
                            <w:lang w:val="en-US"/>
                          </w:rPr>
                          <m:t>+</m:t>
                        </m:r>
                        <m:r>
                          <w:rPr>
                            <w:rFonts w:ascii="Cambria Math" w:eastAsia="宋体" w:hAnsi="Cambria Math" w:cs="Times New Roman"/>
                            <w:szCs w:val="24"/>
                            <w:lang w:val="en-US"/>
                          </w:rPr>
                          <m:t>ϵ</m:t>
                        </m:r>
                      </m:e>
                    </m:rad>
                  </m:den>
                </m:f>
              </m:oMath>
            </m:oMathPara>
          </w:p>
        </w:tc>
        <w:tc>
          <w:tcPr>
            <w:tcW w:w="261" w:type="dxa"/>
            <w:vAlign w:val="center"/>
          </w:tcPr>
          <w:p w14:paraId="57EA4C56" w14:textId="77777777" w:rsidR="00FF2923" w:rsidRPr="00C76262" w:rsidRDefault="00000000">
            <w:pPr>
              <w:keepLines/>
              <w:widowControl w:val="0"/>
              <w:suppressAutoHyphens/>
              <w:kinsoku w:val="0"/>
              <w:overflowPunct w:val="0"/>
              <w:autoSpaceDE w:val="0"/>
              <w:autoSpaceDN w:val="0"/>
              <w:adjustRightInd w:val="0"/>
              <w:snapToGrid w:val="0"/>
              <w:spacing w:before="120" w:after="120" w:line="288" w:lineRule="auto"/>
              <w:jc w:val="right"/>
              <w:rPr>
                <w:rFonts w:ascii="Times New Roman" w:eastAsia="Times New Roman" w:hAnsi="Times New Roman" w:cs="Times New Roman"/>
                <w:kern w:val="2"/>
                <w:szCs w:val="24"/>
                <w:lang w:bidi="ta-IN"/>
              </w:rPr>
            </w:pPr>
            <w:r w:rsidRPr="00C76262">
              <w:rPr>
                <w:rFonts w:ascii="Times New Roman" w:eastAsia="Times New Roman" w:hAnsi="Times New Roman" w:cs="Times New Roman"/>
                <w:kern w:val="2"/>
                <w:szCs w:val="24"/>
                <w:lang w:bidi="ta-IN"/>
              </w:rPr>
              <w:t>(</w:t>
            </w:r>
            <w:r w:rsidRPr="00C76262">
              <w:rPr>
                <w:rFonts w:ascii="Times New Roman" w:eastAsiaTheme="minorEastAsia" w:hAnsi="Times New Roman" w:cs="Times New Roman"/>
                <w:kern w:val="2"/>
                <w:szCs w:val="24"/>
                <w:lang w:eastAsia="zh-CN" w:bidi="ta-IN"/>
              </w:rPr>
              <w:t>5</w:t>
            </w:r>
            <w:r w:rsidRPr="00C76262">
              <w:rPr>
                <w:rFonts w:ascii="Times New Roman" w:eastAsia="Times New Roman" w:hAnsi="Times New Roman" w:cs="Times New Roman"/>
                <w:kern w:val="2"/>
                <w:szCs w:val="24"/>
                <w:lang w:bidi="ta-IN"/>
              </w:rPr>
              <w:t>)</w:t>
            </w:r>
          </w:p>
        </w:tc>
      </w:tr>
    </w:tbl>
    <w:p w14:paraId="7D522C39" w14:textId="77777777" w:rsidR="00FF2923" w:rsidRPr="00C76262" w:rsidRDefault="00000000">
      <w:pPr>
        <w:widowControl w:val="0"/>
        <w:adjustRightInd w:val="0"/>
        <w:snapToGrid w:val="0"/>
        <w:spacing w:after="0" w:line="288" w:lineRule="auto"/>
        <w:ind w:left="2948"/>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Where </w:t>
      </w:r>
      <m:oMath>
        <m:sSub>
          <m:sSubPr>
            <m:ctrlPr>
              <w:rPr>
                <w:rFonts w:ascii="Cambria Math" w:eastAsia="宋体" w:hAnsi="Cambria Math" w:cs="Times New Roman"/>
                <w:szCs w:val="24"/>
                <w:lang w:val="en-US"/>
              </w:rPr>
            </m:ctrlPr>
          </m:sSubPr>
          <m:e>
            <m:r>
              <w:rPr>
                <w:rFonts w:ascii="Cambria Math" w:eastAsia="宋体" w:hAnsi="Cambria Math" w:cs="Times New Roman"/>
                <w:szCs w:val="24"/>
                <w:lang w:val="en-US"/>
              </w:rPr>
              <m:t>μ</m:t>
            </m:r>
          </m:e>
          <m:sub>
            <m:r>
              <m:rPr>
                <m:scr m:val="fraktur"/>
                <m:sty m:val="p"/>
              </m:rPr>
              <w:rPr>
                <w:rFonts w:ascii="Cambria Math" w:eastAsia="宋体" w:hAnsi="Cambria Math" w:cs="Times New Roman"/>
                <w:szCs w:val="24"/>
                <w:lang w:val="en-US"/>
              </w:rPr>
              <m:t>i</m:t>
            </m:r>
          </m:sub>
        </m:sSub>
      </m:oMath>
      <w:r w:rsidRPr="00C76262">
        <w:rPr>
          <w:rFonts w:ascii="Times New Roman" w:eastAsia="宋体" w:hAnsi="Times New Roman" w:cs="Times New Roman"/>
          <w:szCs w:val="24"/>
          <w:lang w:val="en-US"/>
        </w:rPr>
        <w:t xml:space="preserve"> represents the uncertainty-scaled learning rate. This enhancement makes </w:t>
      </w:r>
      <w:r w:rsidRPr="00C76262">
        <w:rPr>
          <w:rFonts w:ascii="Times New Roman" w:eastAsia="宋体" w:hAnsi="Times New Roman" w:cs="Times New Roman"/>
          <w:szCs w:val="24"/>
          <w:lang w:val="en-US"/>
        </w:rPr>
        <w:lastRenderedPageBreak/>
        <w:t>training of lung cancer grading more efficient, scaling down the learning rate for high-uncertainty samples and making the optimizer aware of model confidence. Finally, the images are fed into the classification head, which contains a softmax layer and an FC layer to grade the cancer using the lung histopathological images.</w:t>
      </w:r>
    </w:p>
    <w:p w14:paraId="5477943F" w14:textId="77777777" w:rsidR="00FF2923" w:rsidRPr="00C76262"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cs="Times New Roman"/>
          <w:b/>
          <w:sz w:val="26"/>
          <w:szCs w:val="26"/>
          <w:lang w:val="en-US"/>
        </w:rPr>
      </w:pPr>
      <w:r w:rsidRPr="00C76262">
        <w:rPr>
          <w:rFonts w:ascii="Times New Roman" w:eastAsia="Calibri" w:hAnsi="Times New Roman" w:cs="Times New Roman"/>
          <w:b/>
          <w:sz w:val="26"/>
          <w:szCs w:val="26"/>
          <w:lang w:val="en-US"/>
        </w:rPr>
        <w:t xml:space="preserve">3. Results and </w:t>
      </w:r>
      <w:r w:rsidRPr="00C76262">
        <w:rPr>
          <w:rFonts w:ascii="Times New Roman" w:eastAsiaTheme="minorEastAsia" w:hAnsi="Times New Roman" w:cs="Times New Roman"/>
          <w:b/>
          <w:sz w:val="26"/>
          <w:szCs w:val="26"/>
          <w:lang w:val="en-US" w:eastAsia="zh-CN"/>
        </w:rPr>
        <w:t>d</w:t>
      </w:r>
      <w:r w:rsidRPr="00C76262">
        <w:rPr>
          <w:rFonts w:ascii="Times New Roman" w:eastAsia="Calibri" w:hAnsi="Times New Roman" w:cs="Times New Roman"/>
          <w:b/>
          <w:sz w:val="26"/>
          <w:szCs w:val="26"/>
          <w:lang w:val="en-US"/>
        </w:rPr>
        <w:t>iscussion</w:t>
      </w:r>
    </w:p>
    <w:p w14:paraId="0A7F1360"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3.1. Implementation environment and hyperparameter selection</w:t>
      </w:r>
    </w:p>
    <w:p w14:paraId="4816FF39" w14:textId="77777777" w:rsidR="00FF2923" w:rsidRPr="00C76262" w:rsidRDefault="00000000">
      <w:pPr>
        <w:widowControl w:val="0"/>
        <w:adjustRightInd w:val="0"/>
        <w:snapToGrid w:val="0"/>
        <w:spacing w:before="240" w:after="0" w:line="288" w:lineRule="auto"/>
        <w:ind w:left="2948" w:firstLine="420"/>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The proposed framework performed using a workstation equipped with an NVIDIA Quadro M200 GPU with 16 GB RAM, and an Intel Core i7 processor. The proposed </w:t>
      </w:r>
      <w:proofErr w:type="spellStart"/>
      <w:r w:rsidRPr="00C76262">
        <w:rPr>
          <w:rFonts w:ascii="Times New Roman" w:eastAsia="宋体" w:hAnsi="Times New Roman" w:cs="Times New Roman"/>
          <w:szCs w:val="24"/>
          <w:lang w:val="en-US"/>
        </w:rPr>
        <w:t>ResCBAM-ViTFSG</w:t>
      </w:r>
      <w:proofErr w:type="spellEnd"/>
      <w:r w:rsidRPr="00C76262">
        <w:rPr>
          <w:rFonts w:ascii="Times New Roman" w:eastAsia="宋体" w:hAnsi="Times New Roman" w:cs="Times New Roman"/>
          <w:szCs w:val="24"/>
          <w:lang w:val="en-US"/>
        </w:rPr>
        <w:t xml:space="preserve"> framework was implemented using the python 3.10 version. During both training and inference, a batch size of 32 was used. </w:t>
      </w:r>
    </w:p>
    <w:p w14:paraId="354A1423" w14:textId="77777777" w:rsidR="00FF2923" w:rsidRPr="00C76262" w:rsidRDefault="00000000">
      <w:pPr>
        <w:widowControl w:val="0"/>
        <w:adjustRightInd w:val="0"/>
        <w:snapToGrid w:val="0"/>
        <w:spacing w:after="0" w:line="288" w:lineRule="auto"/>
        <w:ind w:left="2948" w:firstLine="420"/>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For the implementation process, image size of 224 </w:t>
      </w:r>
      <w:r w:rsidRPr="00C76262">
        <w:rPr>
          <w:rFonts w:ascii="Times New Roman" w:eastAsia="宋体" w:hAnsi="Times New Roman" w:cs="Times New Roman"/>
          <w:szCs w:val="24"/>
          <w:lang w:val="en-US" w:eastAsia="zh-CN"/>
        </w:rPr>
        <w:t>×</w:t>
      </w:r>
      <w:r w:rsidRPr="00C76262">
        <w:rPr>
          <w:rFonts w:ascii="Times New Roman" w:eastAsia="宋体" w:hAnsi="Times New Roman" w:cs="Times New Roman"/>
          <w:szCs w:val="24"/>
          <w:lang w:val="en-US"/>
        </w:rPr>
        <w:t xml:space="preserve"> 224 is used and the data augmentation process flipped with 0.5 value and rotated with ±30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 to improve the diversity of the dataset. A batch size of 32 entries at an initial learning rate of 0.001. </w:t>
      </w:r>
      <w:r w:rsidRPr="00C76262">
        <w:rPr>
          <w:rFonts w:ascii="Times New Roman" w:eastAsia="宋体" w:hAnsi="Times New Roman" w:cs="Times New Roman"/>
          <w:b/>
          <w:bCs/>
          <w:szCs w:val="24"/>
          <w:lang w:val="en-US"/>
        </w:rPr>
        <w:t>Table 3</w:t>
      </w:r>
      <w:r w:rsidRPr="00C76262">
        <w:rPr>
          <w:rFonts w:ascii="Times New Roman" w:eastAsia="宋体" w:hAnsi="Times New Roman" w:cs="Times New Roman"/>
          <w:szCs w:val="24"/>
          <w:lang w:val="en-US"/>
        </w:rPr>
        <w:t xml:space="preserve"> illustrates the hyperparameters of the proposed hybrid attention-based DL framework, including learning rate, epoch, optimizer, and attention details. </w:t>
      </w:r>
    </w:p>
    <w:p w14:paraId="75F341CD" w14:textId="77777777" w:rsidR="00FF2923" w:rsidRPr="00C76262" w:rsidRDefault="00000000">
      <w:pPr>
        <w:widowControl w:val="0"/>
        <w:adjustRightInd w:val="0"/>
        <w:snapToGrid w:val="0"/>
        <w:spacing w:after="0" w:line="288" w:lineRule="auto"/>
        <w:ind w:left="2948" w:firstLine="420"/>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The hyperparameters in </w:t>
      </w: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3</w:t>
      </w:r>
      <w:r w:rsidRPr="00C76262">
        <w:rPr>
          <w:rFonts w:ascii="Times New Roman" w:eastAsia="宋体" w:hAnsi="Times New Roman" w:cs="Times New Roman"/>
          <w:szCs w:val="24"/>
          <w:lang w:val="en-US"/>
        </w:rPr>
        <w:t xml:space="preserve"> represent the proposed model’s performance and generalizability while minimizing overfitting. The selected hyperparameters improved training convergence, regularization to reduce overfitting, and enhanced model generalization capacity.</w:t>
      </w:r>
    </w:p>
    <w:p w14:paraId="1030536E" w14:textId="77777777" w:rsidR="00FF2923" w:rsidRPr="00C76262" w:rsidRDefault="00000000">
      <w:pPr>
        <w:adjustRightInd w:val="0"/>
        <w:snapToGrid w:val="0"/>
        <w:spacing w:before="240" w:after="60" w:line="288" w:lineRule="auto"/>
        <w:ind w:left="2948"/>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3</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Hyperparameter selection of the proposed model</w:t>
      </w:r>
      <w:r w:rsidRPr="00C76262">
        <w:rPr>
          <w:rFonts w:ascii="Times New Roman" w:eastAsia="宋体" w:hAnsi="Times New Roman" w:cs="Times New Roman"/>
          <w:lang w:val="en-US"/>
        </w:rPr>
        <w:t>.</w:t>
      </w:r>
    </w:p>
    <w:tbl>
      <w:tblPr>
        <w:tblStyle w:val="af2"/>
        <w:tblW w:w="0" w:type="auto"/>
        <w:jc w:val="righ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410"/>
        <w:gridCol w:w="3544"/>
        <w:gridCol w:w="1495"/>
      </w:tblGrid>
      <w:tr w:rsidR="00FF2923" w:rsidRPr="00C76262" w14:paraId="4AD5EF12" w14:textId="77777777">
        <w:trPr>
          <w:trHeight w:val="312"/>
          <w:jc w:val="right"/>
        </w:trPr>
        <w:tc>
          <w:tcPr>
            <w:tcW w:w="2410" w:type="dxa"/>
            <w:tcBorders>
              <w:top w:val="single" w:sz="8" w:space="0" w:color="auto"/>
              <w:bottom w:val="single" w:sz="4" w:space="0" w:color="auto"/>
            </w:tcBorders>
          </w:tcPr>
          <w:p w14:paraId="28FD637A"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ru-RU"/>
              </w:rPr>
            </w:pPr>
            <w:bookmarkStart w:id="14" w:name="_Hlk231824876"/>
            <w:bookmarkStart w:id="15" w:name="OLE_LINK3"/>
            <w:r w:rsidRPr="00C76262">
              <w:rPr>
                <w:rFonts w:ascii="Times New Roman" w:eastAsia="宋体" w:hAnsi="Times New Roman" w:cs="Times New Roman"/>
                <w:b/>
                <w:bCs/>
                <w:sz w:val="18"/>
                <w:szCs w:val="18"/>
                <w:lang w:val="ru-RU"/>
              </w:rPr>
              <w:t>Component</w:t>
            </w:r>
          </w:p>
        </w:tc>
        <w:tc>
          <w:tcPr>
            <w:tcW w:w="3544" w:type="dxa"/>
            <w:tcBorders>
              <w:top w:val="single" w:sz="8" w:space="0" w:color="auto"/>
              <w:bottom w:val="single" w:sz="4" w:space="0" w:color="auto"/>
            </w:tcBorders>
          </w:tcPr>
          <w:p w14:paraId="1BDE01DC"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Hyperparameters</w:t>
            </w:r>
          </w:p>
        </w:tc>
        <w:tc>
          <w:tcPr>
            <w:tcW w:w="1495" w:type="dxa"/>
            <w:tcBorders>
              <w:top w:val="single" w:sz="8" w:space="0" w:color="auto"/>
              <w:bottom w:val="single" w:sz="4" w:space="0" w:color="auto"/>
            </w:tcBorders>
          </w:tcPr>
          <w:p w14:paraId="2EFA13CA"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Value</w:t>
            </w:r>
          </w:p>
        </w:tc>
      </w:tr>
      <w:bookmarkEnd w:id="14"/>
      <w:tr w:rsidR="00FF2923" w:rsidRPr="00C76262" w14:paraId="110C5D37" w14:textId="77777777">
        <w:trPr>
          <w:trHeight w:val="312"/>
          <w:jc w:val="right"/>
        </w:trPr>
        <w:tc>
          <w:tcPr>
            <w:tcW w:w="2410" w:type="dxa"/>
            <w:vMerge w:val="restart"/>
            <w:tcBorders>
              <w:top w:val="single" w:sz="4" w:space="0" w:color="auto"/>
            </w:tcBorders>
          </w:tcPr>
          <w:p w14:paraId="0C41525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ResNet-18 backbone</w:t>
            </w:r>
          </w:p>
        </w:tc>
        <w:tc>
          <w:tcPr>
            <w:tcW w:w="3544" w:type="dxa"/>
            <w:tcBorders>
              <w:top w:val="single" w:sz="4" w:space="0" w:color="auto"/>
            </w:tcBorders>
          </w:tcPr>
          <w:p w14:paraId="4100B46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Pretrained</w:t>
            </w:r>
          </w:p>
        </w:tc>
        <w:tc>
          <w:tcPr>
            <w:tcW w:w="1495" w:type="dxa"/>
            <w:tcBorders>
              <w:top w:val="single" w:sz="4" w:space="0" w:color="auto"/>
            </w:tcBorders>
          </w:tcPr>
          <w:p w14:paraId="5316140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True</w:t>
            </w:r>
          </w:p>
        </w:tc>
      </w:tr>
      <w:tr w:rsidR="00FF2923" w:rsidRPr="00C76262" w14:paraId="3C9466D1" w14:textId="77777777">
        <w:trPr>
          <w:trHeight w:val="331"/>
          <w:jc w:val="right"/>
        </w:trPr>
        <w:tc>
          <w:tcPr>
            <w:tcW w:w="2410" w:type="dxa"/>
            <w:vMerge/>
          </w:tcPr>
          <w:p w14:paraId="2260D1B0"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3544" w:type="dxa"/>
          </w:tcPr>
          <w:p w14:paraId="7759041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Output shape</w:t>
            </w:r>
          </w:p>
        </w:tc>
        <w:tc>
          <w:tcPr>
            <w:tcW w:w="1495" w:type="dxa"/>
          </w:tcPr>
          <w:p w14:paraId="2CFE8DD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(B, 2048, 7, 7)</w:t>
            </w:r>
          </w:p>
        </w:tc>
      </w:tr>
      <w:tr w:rsidR="00FF2923" w:rsidRPr="00C76262" w14:paraId="6885D188" w14:textId="77777777">
        <w:trPr>
          <w:trHeight w:val="312"/>
          <w:jc w:val="right"/>
        </w:trPr>
        <w:tc>
          <w:tcPr>
            <w:tcW w:w="2410" w:type="dxa"/>
            <w:vMerge w:val="restart"/>
          </w:tcPr>
          <w:p w14:paraId="2439477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Attention modules</w:t>
            </w:r>
          </w:p>
        </w:tc>
        <w:tc>
          <w:tcPr>
            <w:tcW w:w="3544" w:type="dxa"/>
          </w:tcPr>
          <w:p w14:paraId="4477EE3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Channel attention reduction</w:t>
            </w:r>
          </w:p>
        </w:tc>
        <w:tc>
          <w:tcPr>
            <w:tcW w:w="1495" w:type="dxa"/>
          </w:tcPr>
          <w:p w14:paraId="47FA4DC1"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16</w:t>
            </w:r>
          </w:p>
        </w:tc>
      </w:tr>
      <w:tr w:rsidR="00FF2923" w:rsidRPr="00C76262" w14:paraId="69ACE348" w14:textId="77777777">
        <w:trPr>
          <w:trHeight w:val="312"/>
          <w:jc w:val="right"/>
        </w:trPr>
        <w:tc>
          <w:tcPr>
            <w:tcW w:w="2410" w:type="dxa"/>
            <w:vMerge/>
          </w:tcPr>
          <w:p w14:paraId="70C4483D"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3544" w:type="dxa"/>
          </w:tcPr>
          <w:p w14:paraId="35143356"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Spatial attention kernel size</w:t>
            </w:r>
          </w:p>
        </w:tc>
        <w:tc>
          <w:tcPr>
            <w:tcW w:w="1495" w:type="dxa"/>
          </w:tcPr>
          <w:p w14:paraId="630248B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7</w:t>
            </w:r>
          </w:p>
        </w:tc>
      </w:tr>
      <w:tr w:rsidR="00FF2923" w:rsidRPr="00C76262" w14:paraId="547E9CB8" w14:textId="77777777">
        <w:trPr>
          <w:trHeight w:val="312"/>
          <w:jc w:val="right"/>
        </w:trPr>
        <w:tc>
          <w:tcPr>
            <w:tcW w:w="2410" w:type="dxa"/>
            <w:vMerge w:val="restart"/>
          </w:tcPr>
          <w:p w14:paraId="28982796"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ViT backbone</w:t>
            </w:r>
          </w:p>
        </w:tc>
        <w:tc>
          <w:tcPr>
            <w:tcW w:w="3544" w:type="dxa"/>
          </w:tcPr>
          <w:p w14:paraId="7033649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Pretrained</w:t>
            </w:r>
          </w:p>
        </w:tc>
        <w:tc>
          <w:tcPr>
            <w:tcW w:w="1495" w:type="dxa"/>
          </w:tcPr>
          <w:p w14:paraId="7EA67FB7"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True</w:t>
            </w:r>
          </w:p>
        </w:tc>
      </w:tr>
      <w:tr w:rsidR="00FF2923" w:rsidRPr="00C76262" w14:paraId="4175B7FA" w14:textId="77777777">
        <w:trPr>
          <w:trHeight w:val="312"/>
          <w:jc w:val="right"/>
        </w:trPr>
        <w:tc>
          <w:tcPr>
            <w:tcW w:w="2410" w:type="dxa"/>
            <w:vMerge/>
          </w:tcPr>
          <w:p w14:paraId="184F27D2"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3544" w:type="dxa"/>
          </w:tcPr>
          <w:p w14:paraId="2FB76920"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Head</w:t>
            </w:r>
          </w:p>
        </w:tc>
        <w:tc>
          <w:tcPr>
            <w:tcW w:w="1495" w:type="dxa"/>
          </w:tcPr>
          <w:p w14:paraId="2A48AF31"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Identity</w:t>
            </w:r>
          </w:p>
        </w:tc>
      </w:tr>
      <w:tr w:rsidR="00FF2923" w:rsidRPr="00C76262" w14:paraId="59E9A73A" w14:textId="77777777">
        <w:trPr>
          <w:trHeight w:val="331"/>
          <w:jc w:val="right"/>
        </w:trPr>
        <w:tc>
          <w:tcPr>
            <w:tcW w:w="2410" w:type="dxa"/>
            <w:vMerge/>
          </w:tcPr>
          <w:p w14:paraId="5C1FCF1B"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3544" w:type="dxa"/>
          </w:tcPr>
          <w:p w14:paraId="4B591E1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Output shape</w:t>
            </w:r>
          </w:p>
        </w:tc>
        <w:tc>
          <w:tcPr>
            <w:tcW w:w="1495" w:type="dxa"/>
          </w:tcPr>
          <w:p w14:paraId="34E5408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(B, 768)</w:t>
            </w:r>
          </w:p>
        </w:tc>
      </w:tr>
      <w:tr w:rsidR="00FF2923" w:rsidRPr="00C76262" w14:paraId="1AB61BBC" w14:textId="77777777">
        <w:trPr>
          <w:trHeight w:val="312"/>
          <w:jc w:val="right"/>
        </w:trPr>
        <w:tc>
          <w:tcPr>
            <w:tcW w:w="2410" w:type="dxa"/>
            <w:vMerge w:val="restart"/>
          </w:tcPr>
          <w:p w14:paraId="73C145A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Feature fusion</w:t>
            </w:r>
          </w:p>
        </w:tc>
        <w:tc>
          <w:tcPr>
            <w:tcW w:w="3544" w:type="dxa"/>
          </w:tcPr>
          <w:p w14:paraId="5899A22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Concatenated feature dim</w:t>
            </w:r>
          </w:p>
        </w:tc>
        <w:tc>
          <w:tcPr>
            <w:tcW w:w="1495" w:type="dxa"/>
          </w:tcPr>
          <w:p w14:paraId="18EEC2D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2048</w:t>
            </w:r>
            <w:r w:rsidRPr="00C76262">
              <w:rPr>
                <w:rFonts w:ascii="Times New Roman" w:eastAsia="宋体" w:hAnsi="Times New Roman" w:cs="Times New Roman"/>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sz w:val="18"/>
                <w:szCs w:val="18"/>
                <w:lang w:val="ru-RU" w:eastAsia="zh-CN"/>
              </w:rPr>
              <w:t xml:space="preserve"> </w:t>
            </w:r>
            <w:r w:rsidRPr="00C76262">
              <w:rPr>
                <w:rFonts w:ascii="Times New Roman" w:eastAsia="宋体" w:hAnsi="Times New Roman" w:cs="Times New Roman"/>
                <w:sz w:val="18"/>
                <w:szCs w:val="18"/>
                <w:lang w:val="ru-RU"/>
              </w:rPr>
              <w:t>7×</w:t>
            </w:r>
            <w:r w:rsidRPr="00C76262">
              <w:rPr>
                <w:rFonts w:ascii="Times New Roman" w:eastAsia="宋体" w:hAnsi="Times New Roman" w:cs="Times New Roman"/>
                <w:sz w:val="18"/>
                <w:szCs w:val="18"/>
                <w:lang w:val="ru-RU" w:eastAsia="zh-CN"/>
              </w:rPr>
              <w:t xml:space="preserve"> </w:t>
            </w:r>
            <w:r w:rsidRPr="00C76262">
              <w:rPr>
                <w:rFonts w:ascii="Times New Roman" w:eastAsia="宋体" w:hAnsi="Times New Roman" w:cs="Times New Roman"/>
                <w:sz w:val="18"/>
                <w:szCs w:val="18"/>
                <w:lang w:val="ru-RU"/>
              </w:rPr>
              <w:t>7 + 768 = 10640</w:t>
            </w:r>
          </w:p>
        </w:tc>
      </w:tr>
      <w:tr w:rsidR="00FF2923" w:rsidRPr="00C76262" w14:paraId="50C85A5F" w14:textId="77777777">
        <w:trPr>
          <w:trHeight w:val="312"/>
          <w:jc w:val="right"/>
        </w:trPr>
        <w:tc>
          <w:tcPr>
            <w:tcW w:w="2410" w:type="dxa"/>
            <w:vMerge/>
          </w:tcPr>
          <w:p w14:paraId="5752BC69"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1C12DC1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FC1 in features</w:t>
            </w:r>
          </w:p>
        </w:tc>
        <w:tc>
          <w:tcPr>
            <w:tcW w:w="1495" w:type="dxa"/>
          </w:tcPr>
          <w:p w14:paraId="1A913C7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r w:rsidRPr="00C76262">
              <w:rPr>
                <w:rFonts w:ascii="Times New Roman" w:eastAsia="宋体" w:hAnsi="Times New Roman" w:cs="Times New Roman"/>
                <w:sz w:val="18"/>
                <w:szCs w:val="18"/>
                <w:lang w:val="ru-RU" w:eastAsia="zh-CN"/>
              </w:rPr>
              <w:t>,</w:t>
            </w:r>
            <w:r w:rsidRPr="00C76262">
              <w:rPr>
                <w:rFonts w:ascii="Times New Roman" w:eastAsia="宋体" w:hAnsi="Times New Roman" w:cs="Times New Roman"/>
                <w:sz w:val="18"/>
                <w:szCs w:val="18"/>
                <w:lang w:val="ru-RU"/>
              </w:rPr>
              <w:t>640</w:t>
            </w:r>
          </w:p>
        </w:tc>
      </w:tr>
      <w:tr w:rsidR="00FF2923" w:rsidRPr="00C76262" w14:paraId="7DCC8DB9" w14:textId="77777777">
        <w:trPr>
          <w:trHeight w:val="312"/>
          <w:jc w:val="right"/>
        </w:trPr>
        <w:tc>
          <w:tcPr>
            <w:tcW w:w="2410" w:type="dxa"/>
            <w:vMerge/>
          </w:tcPr>
          <w:p w14:paraId="313FC581"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7688BB4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FC1 out features</w:t>
            </w:r>
          </w:p>
        </w:tc>
        <w:tc>
          <w:tcPr>
            <w:tcW w:w="1495" w:type="dxa"/>
          </w:tcPr>
          <w:p w14:paraId="768595B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512</w:t>
            </w:r>
          </w:p>
        </w:tc>
      </w:tr>
      <w:tr w:rsidR="00FF2923" w:rsidRPr="00C76262" w14:paraId="7DDF492C" w14:textId="77777777">
        <w:trPr>
          <w:trHeight w:val="312"/>
          <w:jc w:val="right"/>
        </w:trPr>
        <w:tc>
          <w:tcPr>
            <w:tcW w:w="2410" w:type="dxa"/>
            <w:vMerge/>
          </w:tcPr>
          <w:p w14:paraId="2B65FE1A"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02D1E3B8"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Activation function</w:t>
            </w:r>
          </w:p>
        </w:tc>
        <w:tc>
          <w:tcPr>
            <w:tcW w:w="1495" w:type="dxa"/>
          </w:tcPr>
          <w:p w14:paraId="4919CD2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ReLU</w:t>
            </w:r>
          </w:p>
        </w:tc>
      </w:tr>
      <w:tr w:rsidR="00FF2923" w:rsidRPr="00C76262" w14:paraId="000B0F44" w14:textId="77777777">
        <w:trPr>
          <w:trHeight w:val="312"/>
          <w:jc w:val="right"/>
        </w:trPr>
        <w:tc>
          <w:tcPr>
            <w:tcW w:w="2410" w:type="dxa"/>
            <w:vMerge/>
          </w:tcPr>
          <w:p w14:paraId="7A071A30"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7D84915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Dropout rate</w:t>
            </w:r>
          </w:p>
        </w:tc>
        <w:tc>
          <w:tcPr>
            <w:tcW w:w="1495" w:type="dxa"/>
          </w:tcPr>
          <w:p w14:paraId="61C93BE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0.3</w:t>
            </w:r>
          </w:p>
        </w:tc>
      </w:tr>
      <w:tr w:rsidR="00FF2923" w:rsidRPr="00C76262" w14:paraId="683B604F" w14:textId="77777777">
        <w:trPr>
          <w:trHeight w:val="312"/>
          <w:jc w:val="right"/>
        </w:trPr>
        <w:tc>
          <w:tcPr>
            <w:tcW w:w="2410" w:type="dxa"/>
            <w:vMerge/>
          </w:tcPr>
          <w:p w14:paraId="43556617"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3E3A57A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FC2 out features</w:t>
            </w:r>
          </w:p>
        </w:tc>
        <w:tc>
          <w:tcPr>
            <w:tcW w:w="1495" w:type="dxa"/>
          </w:tcPr>
          <w:p w14:paraId="5F4153D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w:t>
            </w:r>
          </w:p>
        </w:tc>
      </w:tr>
      <w:tr w:rsidR="00FF2923" w:rsidRPr="00C76262" w14:paraId="7CBA82FF" w14:textId="77777777">
        <w:trPr>
          <w:trHeight w:val="312"/>
          <w:jc w:val="right"/>
        </w:trPr>
        <w:tc>
          <w:tcPr>
            <w:tcW w:w="2410" w:type="dxa"/>
            <w:vMerge/>
          </w:tcPr>
          <w:p w14:paraId="48EAAFC8" w14:textId="77777777" w:rsidR="00FF2923" w:rsidRPr="00C76262" w:rsidRDefault="00FF2923">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6E6679E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final activation</w:t>
            </w:r>
          </w:p>
        </w:tc>
        <w:tc>
          <w:tcPr>
            <w:tcW w:w="1495" w:type="dxa"/>
          </w:tcPr>
          <w:p w14:paraId="6C5E67A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Soft</w:t>
            </w:r>
            <w:r w:rsidRPr="00C76262">
              <w:rPr>
                <w:rFonts w:ascii="Times New Roman" w:eastAsia="宋体" w:hAnsi="Times New Roman" w:cs="Times New Roman"/>
                <w:sz w:val="18"/>
                <w:szCs w:val="18"/>
                <w:lang w:val="ru-RU" w:eastAsia="zh-CN"/>
              </w:rPr>
              <w:t>M</w:t>
            </w:r>
            <w:r w:rsidRPr="00C76262">
              <w:rPr>
                <w:rFonts w:ascii="Times New Roman" w:eastAsia="宋体" w:hAnsi="Times New Roman" w:cs="Times New Roman"/>
                <w:sz w:val="18"/>
                <w:szCs w:val="18"/>
                <w:lang w:val="ru-RU"/>
              </w:rPr>
              <w:t xml:space="preserve">ax </w:t>
            </w:r>
          </w:p>
        </w:tc>
      </w:tr>
    </w:tbl>
    <w:p w14:paraId="1A40660D" w14:textId="77777777" w:rsidR="00C76262" w:rsidRPr="00C76262" w:rsidRDefault="00C76262" w:rsidP="00C76262">
      <w:pPr>
        <w:adjustRightInd w:val="0"/>
        <w:snapToGrid w:val="0"/>
        <w:spacing w:before="240" w:after="60" w:line="288" w:lineRule="auto"/>
        <w:ind w:left="2948"/>
        <w:rPr>
          <w:rFonts w:ascii="Times New Roman" w:eastAsiaTheme="minorEastAsia" w:hAnsi="Times New Roman" w:cs="Times New Roman"/>
          <w:lang w:eastAsia="zh-CN"/>
        </w:rPr>
      </w:pPr>
      <w:bookmarkStart w:id="16" w:name="OLE_LINK9"/>
      <w:r w:rsidRPr="00C76262">
        <w:rPr>
          <w:rFonts w:ascii="Times New Roman" w:eastAsiaTheme="minorEastAsia" w:hAnsi="Times New Roman" w:cs="Times New Roman"/>
          <w:b/>
          <w:bCs/>
          <w:lang w:eastAsia="zh-CN"/>
        </w:rPr>
        <w:lastRenderedPageBreak/>
        <w:t>Table 3.</w:t>
      </w:r>
      <w:r w:rsidRPr="00C76262">
        <w:rPr>
          <w:rFonts w:ascii="Times New Roman" w:eastAsiaTheme="minorEastAsia" w:hAnsi="Times New Roman" w:cs="Times New Roman"/>
          <w:lang w:eastAsia="zh-CN"/>
        </w:rPr>
        <w:t xml:space="preserve"> (</w:t>
      </w:r>
      <w:r w:rsidRPr="00C76262">
        <w:rPr>
          <w:rFonts w:ascii="Times New Roman" w:eastAsiaTheme="minorEastAsia" w:hAnsi="Times New Roman" w:cs="Times New Roman"/>
          <w:i/>
          <w:iCs/>
          <w:lang w:eastAsia="zh-CN"/>
        </w:rPr>
        <w:t>Continued</w:t>
      </w:r>
      <w:r w:rsidRPr="00C76262">
        <w:rPr>
          <w:rFonts w:ascii="Times New Roman" w:eastAsiaTheme="minorEastAsia" w:hAnsi="Times New Roman" w:cs="Times New Roman"/>
          <w:lang w:eastAsia="zh-CN"/>
        </w:rPr>
        <w:t>).</w:t>
      </w:r>
    </w:p>
    <w:tbl>
      <w:tblPr>
        <w:tblStyle w:val="af2"/>
        <w:tblW w:w="0" w:type="auto"/>
        <w:jc w:val="righ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410"/>
        <w:gridCol w:w="3544"/>
        <w:gridCol w:w="1495"/>
      </w:tblGrid>
      <w:tr w:rsidR="00C76262" w:rsidRPr="00C76262" w14:paraId="738A1A4A" w14:textId="77777777" w:rsidTr="00C76262">
        <w:trPr>
          <w:trHeight w:val="312"/>
          <w:jc w:val="right"/>
        </w:trPr>
        <w:tc>
          <w:tcPr>
            <w:tcW w:w="2410" w:type="dxa"/>
            <w:tcBorders>
              <w:top w:val="single" w:sz="8" w:space="0" w:color="auto"/>
              <w:bottom w:val="single" w:sz="4" w:space="0" w:color="auto"/>
            </w:tcBorders>
          </w:tcPr>
          <w:bookmarkEnd w:id="16"/>
          <w:p w14:paraId="3397CC7A"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Component</w:t>
            </w:r>
          </w:p>
        </w:tc>
        <w:tc>
          <w:tcPr>
            <w:tcW w:w="3544" w:type="dxa"/>
            <w:tcBorders>
              <w:top w:val="single" w:sz="8" w:space="0" w:color="auto"/>
              <w:bottom w:val="single" w:sz="4" w:space="0" w:color="auto"/>
            </w:tcBorders>
          </w:tcPr>
          <w:p w14:paraId="618C304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Hyperparameters</w:t>
            </w:r>
          </w:p>
        </w:tc>
        <w:tc>
          <w:tcPr>
            <w:tcW w:w="1495" w:type="dxa"/>
            <w:tcBorders>
              <w:top w:val="single" w:sz="8" w:space="0" w:color="auto"/>
              <w:bottom w:val="single" w:sz="4" w:space="0" w:color="auto"/>
            </w:tcBorders>
          </w:tcPr>
          <w:p w14:paraId="5A25B47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Value</w:t>
            </w:r>
          </w:p>
        </w:tc>
      </w:tr>
      <w:tr w:rsidR="00C76262" w:rsidRPr="00C76262" w14:paraId="189AF791" w14:textId="77777777" w:rsidTr="00C76262">
        <w:trPr>
          <w:trHeight w:val="312"/>
          <w:jc w:val="right"/>
        </w:trPr>
        <w:tc>
          <w:tcPr>
            <w:tcW w:w="2410" w:type="dxa"/>
            <w:vMerge w:val="restart"/>
            <w:tcBorders>
              <w:top w:val="single" w:sz="4" w:space="0" w:color="auto"/>
            </w:tcBorders>
          </w:tcPr>
          <w:p w14:paraId="141F84E4"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Training</w:t>
            </w:r>
          </w:p>
        </w:tc>
        <w:tc>
          <w:tcPr>
            <w:tcW w:w="3544" w:type="dxa"/>
            <w:tcBorders>
              <w:top w:val="single" w:sz="4" w:space="0" w:color="auto"/>
            </w:tcBorders>
          </w:tcPr>
          <w:p w14:paraId="1839E9F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Epochs</w:t>
            </w:r>
          </w:p>
        </w:tc>
        <w:tc>
          <w:tcPr>
            <w:tcW w:w="1495" w:type="dxa"/>
            <w:tcBorders>
              <w:top w:val="single" w:sz="4" w:space="0" w:color="auto"/>
            </w:tcBorders>
          </w:tcPr>
          <w:p w14:paraId="00D22325"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r>
      <w:tr w:rsidR="00C76262" w:rsidRPr="00C76262" w14:paraId="7BB3A0E2" w14:textId="77777777">
        <w:trPr>
          <w:trHeight w:val="312"/>
          <w:jc w:val="right"/>
        </w:trPr>
        <w:tc>
          <w:tcPr>
            <w:tcW w:w="2410" w:type="dxa"/>
            <w:vMerge/>
          </w:tcPr>
          <w:p w14:paraId="0C184734"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1A70467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Learning rate</w:t>
            </w:r>
          </w:p>
        </w:tc>
        <w:tc>
          <w:tcPr>
            <w:tcW w:w="1495" w:type="dxa"/>
          </w:tcPr>
          <w:p w14:paraId="604CC1C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1e-4</w:t>
            </w:r>
          </w:p>
        </w:tc>
      </w:tr>
      <w:tr w:rsidR="00C76262" w:rsidRPr="00C76262" w14:paraId="4143D495" w14:textId="77777777">
        <w:trPr>
          <w:trHeight w:val="312"/>
          <w:jc w:val="right"/>
        </w:trPr>
        <w:tc>
          <w:tcPr>
            <w:tcW w:w="2410" w:type="dxa"/>
            <w:vMerge/>
          </w:tcPr>
          <w:p w14:paraId="35300AAB"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0F1612A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Optimizer</w:t>
            </w:r>
          </w:p>
        </w:tc>
        <w:tc>
          <w:tcPr>
            <w:tcW w:w="1495" w:type="dxa"/>
          </w:tcPr>
          <w:p w14:paraId="5CD70E1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UAR-Adam</w:t>
            </w:r>
          </w:p>
        </w:tc>
      </w:tr>
      <w:tr w:rsidR="00C76262" w:rsidRPr="00C76262" w14:paraId="0C74901F" w14:textId="77777777">
        <w:trPr>
          <w:trHeight w:val="312"/>
          <w:jc w:val="right"/>
        </w:trPr>
        <w:tc>
          <w:tcPr>
            <w:tcW w:w="2410" w:type="dxa"/>
            <w:vMerge/>
          </w:tcPr>
          <w:p w14:paraId="623F1E43"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2A78CAC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Scheduler</w:t>
            </w:r>
          </w:p>
        </w:tc>
        <w:tc>
          <w:tcPr>
            <w:tcW w:w="1495" w:type="dxa"/>
          </w:tcPr>
          <w:p w14:paraId="7708175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Cosine annealing</w:t>
            </w:r>
          </w:p>
        </w:tc>
      </w:tr>
      <w:tr w:rsidR="00C76262" w:rsidRPr="00C76262" w14:paraId="03BC782E" w14:textId="77777777">
        <w:trPr>
          <w:trHeight w:val="312"/>
          <w:jc w:val="right"/>
        </w:trPr>
        <w:tc>
          <w:tcPr>
            <w:tcW w:w="2410" w:type="dxa"/>
            <w:vMerge/>
          </w:tcPr>
          <w:p w14:paraId="6EC9A031" w14:textId="77777777" w:rsidR="00C76262" w:rsidRPr="00C76262" w:rsidRDefault="00C76262" w:rsidP="00C76262">
            <w:pPr>
              <w:adjustRightInd w:val="0"/>
              <w:snapToGrid w:val="0"/>
              <w:spacing w:after="0" w:line="276" w:lineRule="auto"/>
              <w:rPr>
                <w:rFonts w:ascii="Times New Roman" w:eastAsia="宋体" w:hAnsi="Times New Roman" w:cs="Times New Roman"/>
                <w:sz w:val="18"/>
                <w:szCs w:val="18"/>
                <w:lang w:val="ru-RU"/>
              </w:rPr>
            </w:pPr>
          </w:p>
        </w:tc>
        <w:tc>
          <w:tcPr>
            <w:tcW w:w="3544" w:type="dxa"/>
          </w:tcPr>
          <w:p w14:paraId="48137B1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Loss function</w:t>
            </w:r>
          </w:p>
        </w:tc>
        <w:tc>
          <w:tcPr>
            <w:tcW w:w="1495" w:type="dxa"/>
          </w:tcPr>
          <w:p w14:paraId="2E656AB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Cross entropy</w:t>
            </w:r>
          </w:p>
        </w:tc>
      </w:tr>
    </w:tbl>
    <w:bookmarkEnd w:id="15"/>
    <w:p w14:paraId="705B33EE"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3.2. Performance analysis of the proposed hybrid DL-based grading framework</w:t>
      </w:r>
    </w:p>
    <w:p w14:paraId="75E42CA4" w14:textId="77777777" w:rsidR="00FF2923" w:rsidRPr="00C76262" w:rsidRDefault="00000000">
      <w:pPr>
        <w:widowControl w:val="0"/>
        <w:adjustRightInd w:val="0"/>
        <w:snapToGrid w:val="0"/>
        <w:spacing w:after="0" w:line="288" w:lineRule="auto"/>
        <w:ind w:left="2948" w:firstLine="420"/>
        <w:jc w:val="both"/>
        <w:rPr>
          <w:rFonts w:ascii="Times New Roman" w:eastAsia="宋体" w:hAnsi="Times New Roman" w:cs="Times New Roman"/>
          <w:szCs w:val="24"/>
          <w:lang w:val="en-US"/>
        </w:rPr>
      </w:pP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4</w:t>
      </w:r>
      <w:r w:rsidRPr="00C76262">
        <w:rPr>
          <w:rFonts w:ascii="Times New Roman" w:eastAsia="宋体" w:hAnsi="Times New Roman" w:cs="Times New Roman"/>
          <w:szCs w:val="24"/>
          <w:lang w:val="en-US"/>
        </w:rPr>
        <w:t xml:space="preserve"> illustrates the performance of the lung cancer grading using the metrics accuracy, precision, recall, and F1-score. The proposed model performed well in both the tumor and normal cases with a high accuracy. This highlights the proposed hybrid DL-based framework’s effectiveness in tumor grading.</w:t>
      </w:r>
    </w:p>
    <w:p w14:paraId="4D918118" w14:textId="77777777" w:rsidR="00FF2923" w:rsidRPr="00C76262" w:rsidRDefault="00000000">
      <w:pPr>
        <w:adjustRightInd w:val="0"/>
        <w:snapToGrid w:val="0"/>
        <w:spacing w:before="240" w:after="60" w:line="288" w:lineRule="auto"/>
        <w:ind w:left="2948"/>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4</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Performance evaluation of the proposed model based on the tumor aggressiveness</w:t>
      </w:r>
      <w:r w:rsidRPr="00C76262">
        <w:rPr>
          <w:rFonts w:ascii="Times New Roman" w:eastAsia="宋体" w:hAnsi="Times New Roman" w:cs="Times New Roman"/>
          <w:lang w:val="en-US"/>
        </w:rPr>
        <w:t>.</w:t>
      </w:r>
    </w:p>
    <w:tbl>
      <w:tblPr>
        <w:tblStyle w:val="af2"/>
        <w:tblW w:w="0" w:type="auto"/>
        <w:jc w:val="righ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135"/>
        <w:gridCol w:w="1275"/>
        <w:gridCol w:w="1275"/>
        <w:gridCol w:w="1275"/>
        <w:gridCol w:w="1275"/>
        <w:gridCol w:w="1275"/>
      </w:tblGrid>
      <w:tr w:rsidR="00FF2923" w:rsidRPr="00C76262" w14:paraId="14A05C3E" w14:textId="77777777">
        <w:trPr>
          <w:trHeight w:val="312"/>
          <w:jc w:val="right"/>
        </w:trPr>
        <w:tc>
          <w:tcPr>
            <w:tcW w:w="1135" w:type="dxa"/>
            <w:tcBorders>
              <w:top w:val="single" w:sz="8" w:space="0" w:color="auto"/>
              <w:bottom w:val="single" w:sz="4" w:space="0" w:color="auto"/>
            </w:tcBorders>
          </w:tcPr>
          <w:p w14:paraId="621256C0"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ru-RU"/>
              </w:rPr>
            </w:pPr>
            <w:r w:rsidRPr="00C76262">
              <w:rPr>
                <w:rFonts w:ascii="Times New Roman" w:eastAsia="宋体" w:hAnsi="Times New Roman" w:cs="Times New Roman"/>
                <w:b/>
                <w:bCs/>
                <w:sz w:val="18"/>
                <w:szCs w:val="18"/>
                <w:lang w:val="ru-RU"/>
              </w:rPr>
              <w:t>Class</w:t>
            </w:r>
          </w:p>
        </w:tc>
        <w:tc>
          <w:tcPr>
            <w:tcW w:w="1275" w:type="dxa"/>
            <w:tcBorders>
              <w:top w:val="single" w:sz="8" w:space="0" w:color="auto"/>
              <w:bottom w:val="single" w:sz="4" w:space="0" w:color="auto"/>
            </w:tcBorders>
          </w:tcPr>
          <w:p w14:paraId="7496E634"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Grading</w:t>
            </w:r>
          </w:p>
        </w:tc>
        <w:tc>
          <w:tcPr>
            <w:tcW w:w="1275" w:type="dxa"/>
            <w:tcBorders>
              <w:top w:val="single" w:sz="8" w:space="0" w:color="auto"/>
              <w:bottom w:val="single" w:sz="4" w:space="0" w:color="auto"/>
            </w:tcBorders>
          </w:tcPr>
          <w:p w14:paraId="5C0A4CA7"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Accuracy (%)</w:t>
            </w:r>
          </w:p>
        </w:tc>
        <w:tc>
          <w:tcPr>
            <w:tcW w:w="1275" w:type="dxa"/>
            <w:tcBorders>
              <w:top w:val="single" w:sz="8" w:space="0" w:color="auto"/>
              <w:bottom w:val="single" w:sz="4" w:space="0" w:color="auto"/>
            </w:tcBorders>
          </w:tcPr>
          <w:p w14:paraId="122B94F0"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Precision (%)</w:t>
            </w:r>
          </w:p>
        </w:tc>
        <w:tc>
          <w:tcPr>
            <w:tcW w:w="1275" w:type="dxa"/>
            <w:tcBorders>
              <w:top w:val="single" w:sz="8" w:space="0" w:color="auto"/>
              <w:bottom w:val="single" w:sz="4" w:space="0" w:color="auto"/>
            </w:tcBorders>
          </w:tcPr>
          <w:p w14:paraId="2CFD6EBD"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Recall (%)</w:t>
            </w:r>
          </w:p>
        </w:tc>
        <w:tc>
          <w:tcPr>
            <w:tcW w:w="1275" w:type="dxa"/>
            <w:tcBorders>
              <w:top w:val="single" w:sz="8" w:space="0" w:color="auto"/>
              <w:bottom w:val="single" w:sz="4" w:space="0" w:color="auto"/>
            </w:tcBorders>
          </w:tcPr>
          <w:p w14:paraId="118E214E" w14:textId="77777777" w:rsidR="00FF2923" w:rsidRPr="00C76262" w:rsidRDefault="00000000">
            <w:pPr>
              <w:adjustRightInd w:val="0"/>
              <w:snapToGrid w:val="0"/>
              <w:spacing w:after="0" w:line="240" w:lineRule="auto"/>
              <w:rPr>
                <w:rFonts w:ascii="Times New Roman" w:eastAsia="宋体" w:hAnsi="Times New Roman" w:cs="Times New Roman"/>
                <w:b/>
                <w:sz w:val="18"/>
                <w:szCs w:val="18"/>
                <w:lang w:val="en-US"/>
              </w:rPr>
            </w:pPr>
            <w:r w:rsidRPr="00C76262">
              <w:rPr>
                <w:rFonts w:ascii="Times New Roman" w:eastAsia="宋体" w:hAnsi="Times New Roman" w:cs="Times New Roman"/>
                <w:b/>
                <w:bCs/>
                <w:sz w:val="18"/>
                <w:szCs w:val="18"/>
                <w:lang w:val="ru-RU"/>
              </w:rPr>
              <w:t>F1</w:t>
            </w:r>
            <w:r w:rsidR="00C76262" w:rsidRPr="00C76262">
              <w:rPr>
                <w:rFonts w:ascii="Times New Roman" w:eastAsia="宋体" w:hAnsi="Times New Roman" w:cs="Times New Roman" w:hint="eastAsia"/>
                <w:b/>
                <w:bCs/>
                <w:sz w:val="18"/>
                <w:szCs w:val="18"/>
                <w:lang w:val="ru-RU" w:eastAsia="zh-CN"/>
              </w:rPr>
              <w:t>-s</w:t>
            </w:r>
            <w:r w:rsidRPr="00C76262">
              <w:rPr>
                <w:rFonts w:ascii="Times New Roman" w:eastAsia="宋体" w:hAnsi="Times New Roman" w:cs="Times New Roman"/>
                <w:b/>
                <w:bCs/>
                <w:sz w:val="18"/>
                <w:szCs w:val="18"/>
                <w:lang w:val="ru-RU"/>
              </w:rPr>
              <w:t>core (%)</w:t>
            </w:r>
          </w:p>
        </w:tc>
      </w:tr>
      <w:tr w:rsidR="00FF2923" w:rsidRPr="00C76262" w14:paraId="618E2A1A" w14:textId="77777777">
        <w:trPr>
          <w:trHeight w:val="312"/>
          <w:jc w:val="right"/>
        </w:trPr>
        <w:tc>
          <w:tcPr>
            <w:tcW w:w="1135" w:type="dxa"/>
            <w:vMerge w:val="restart"/>
            <w:tcBorders>
              <w:top w:val="single" w:sz="4" w:space="0" w:color="auto"/>
            </w:tcBorders>
          </w:tcPr>
          <w:p w14:paraId="66FF851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Adenocarcinoma</w:t>
            </w:r>
          </w:p>
        </w:tc>
        <w:tc>
          <w:tcPr>
            <w:tcW w:w="1275" w:type="dxa"/>
            <w:tcBorders>
              <w:top w:val="single" w:sz="4" w:space="0" w:color="auto"/>
            </w:tcBorders>
          </w:tcPr>
          <w:p w14:paraId="73A2E4D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1</w:t>
            </w:r>
          </w:p>
        </w:tc>
        <w:tc>
          <w:tcPr>
            <w:tcW w:w="1275" w:type="dxa"/>
            <w:tcBorders>
              <w:top w:val="single" w:sz="4" w:space="0" w:color="auto"/>
            </w:tcBorders>
          </w:tcPr>
          <w:p w14:paraId="4B32834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98.60</w:t>
            </w:r>
          </w:p>
        </w:tc>
        <w:tc>
          <w:tcPr>
            <w:tcW w:w="1275" w:type="dxa"/>
            <w:tcBorders>
              <w:top w:val="single" w:sz="4" w:space="0" w:color="auto"/>
            </w:tcBorders>
          </w:tcPr>
          <w:p w14:paraId="6BE3B713"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98.75</w:t>
            </w:r>
          </w:p>
        </w:tc>
        <w:tc>
          <w:tcPr>
            <w:tcW w:w="1275" w:type="dxa"/>
            <w:tcBorders>
              <w:top w:val="single" w:sz="4" w:space="0" w:color="auto"/>
            </w:tcBorders>
          </w:tcPr>
          <w:p w14:paraId="19F34426"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98.50</w:t>
            </w:r>
          </w:p>
        </w:tc>
        <w:tc>
          <w:tcPr>
            <w:tcW w:w="1275" w:type="dxa"/>
            <w:tcBorders>
              <w:top w:val="single" w:sz="4" w:space="0" w:color="auto"/>
            </w:tcBorders>
          </w:tcPr>
          <w:p w14:paraId="248A1D2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98.63</w:t>
            </w:r>
          </w:p>
        </w:tc>
      </w:tr>
      <w:tr w:rsidR="00FF2923" w:rsidRPr="00C76262" w14:paraId="3FACEC20" w14:textId="77777777">
        <w:trPr>
          <w:trHeight w:val="331"/>
          <w:jc w:val="right"/>
        </w:trPr>
        <w:tc>
          <w:tcPr>
            <w:tcW w:w="1135" w:type="dxa"/>
            <w:vMerge/>
          </w:tcPr>
          <w:p w14:paraId="25F210B9"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1275" w:type="dxa"/>
          </w:tcPr>
          <w:p w14:paraId="5278448D"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2</w:t>
            </w:r>
          </w:p>
        </w:tc>
        <w:tc>
          <w:tcPr>
            <w:tcW w:w="1275" w:type="dxa"/>
          </w:tcPr>
          <w:p w14:paraId="6AEAA9A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98.10</w:t>
            </w:r>
          </w:p>
        </w:tc>
        <w:tc>
          <w:tcPr>
            <w:tcW w:w="1275" w:type="dxa"/>
          </w:tcPr>
          <w:p w14:paraId="477BD3CC"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98.60</w:t>
            </w:r>
          </w:p>
        </w:tc>
        <w:tc>
          <w:tcPr>
            <w:tcW w:w="1275" w:type="dxa"/>
          </w:tcPr>
          <w:p w14:paraId="7479087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98.00</w:t>
            </w:r>
          </w:p>
        </w:tc>
        <w:tc>
          <w:tcPr>
            <w:tcW w:w="1275" w:type="dxa"/>
          </w:tcPr>
          <w:p w14:paraId="6246580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98.30</w:t>
            </w:r>
          </w:p>
        </w:tc>
      </w:tr>
      <w:tr w:rsidR="00FF2923" w:rsidRPr="00C76262" w14:paraId="0C19649F" w14:textId="77777777">
        <w:trPr>
          <w:trHeight w:val="312"/>
          <w:jc w:val="right"/>
        </w:trPr>
        <w:tc>
          <w:tcPr>
            <w:tcW w:w="1135" w:type="dxa"/>
            <w:vMerge/>
          </w:tcPr>
          <w:p w14:paraId="67EB55B3"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1275" w:type="dxa"/>
          </w:tcPr>
          <w:p w14:paraId="4A43983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3</w:t>
            </w:r>
          </w:p>
        </w:tc>
        <w:tc>
          <w:tcPr>
            <w:tcW w:w="1275" w:type="dxa"/>
          </w:tcPr>
          <w:p w14:paraId="1E32FD7A"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97.85</w:t>
            </w:r>
          </w:p>
        </w:tc>
        <w:tc>
          <w:tcPr>
            <w:tcW w:w="1275" w:type="dxa"/>
          </w:tcPr>
          <w:p w14:paraId="2532EB1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98.25</w:t>
            </w:r>
          </w:p>
        </w:tc>
        <w:tc>
          <w:tcPr>
            <w:tcW w:w="1275" w:type="dxa"/>
          </w:tcPr>
          <w:p w14:paraId="2D71ACE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98.10</w:t>
            </w:r>
          </w:p>
        </w:tc>
        <w:tc>
          <w:tcPr>
            <w:tcW w:w="1275" w:type="dxa"/>
          </w:tcPr>
          <w:p w14:paraId="7D038BDC"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98.18</w:t>
            </w:r>
          </w:p>
        </w:tc>
      </w:tr>
      <w:tr w:rsidR="00FF2923" w:rsidRPr="00C76262" w14:paraId="77A9FB06" w14:textId="77777777">
        <w:trPr>
          <w:trHeight w:val="312"/>
          <w:jc w:val="right"/>
        </w:trPr>
        <w:tc>
          <w:tcPr>
            <w:tcW w:w="1135" w:type="dxa"/>
          </w:tcPr>
          <w:p w14:paraId="4535D83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Normal</w:t>
            </w:r>
          </w:p>
        </w:tc>
        <w:tc>
          <w:tcPr>
            <w:tcW w:w="1275" w:type="dxa"/>
          </w:tcPr>
          <w:p w14:paraId="3DB58A01"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Normal</w:t>
            </w:r>
          </w:p>
        </w:tc>
        <w:tc>
          <w:tcPr>
            <w:tcW w:w="1275" w:type="dxa"/>
          </w:tcPr>
          <w:p w14:paraId="787C2D2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99.20</w:t>
            </w:r>
          </w:p>
        </w:tc>
        <w:tc>
          <w:tcPr>
            <w:tcW w:w="1275" w:type="dxa"/>
          </w:tcPr>
          <w:p w14:paraId="4EDCA3A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99.00</w:t>
            </w:r>
          </w:p>
        </w:tc>
        <w:tc>
          <w:tcPr>
            <w:tcW w:w="1275" w:type="dxa"/>
          </w:tcPr>
          <w:p w14:paraId="01802FB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98.90</w:t>
            </w:r>
          </w:p>
        </w:tc>
        <w:tc>
          <w:tcPr>
            <w:tcW w:w="1275" w:type="dxa"/>
          </w:tcPr>
          <w:p w14:paraId="2DB4443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98.95</w:t>
            </w:r>
          </w:p>
        </w:tc>
      </w:tr>
      <w:tr w:rsidR="00FF2923" w:rsidRPr="00C76262" w14:paraId="457B9A5A" w14:textId="77777777">
        <w:trPr>
          <w:trHeight w:val="312"/>
          <w:jc w:val="right"/>
        </w:trPr>
        <w:tc>
          <w:tcPr>
            <w:tcW w:w="1135" w:type="dxa"/>
            <w:vMerge w:val="restart"/>
          </w:tcPr>
          <w:p w14:paraId="4F1002FD"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Squamous cell carcinoma</w:t>
            </w:r>
          </w:p>
        </w:tc>
        <w:tc>
          <w:tcPr>
            <w:tcW w:w="1275" w:type="dxa"/>
          </w:tcPr>
          <w:p w14:paraId="344F7210"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1</w:t>
            </w:r>
          </w:p>
        </w:tc>
        <w:tc>
          <w:tcPr>
            <w:tcW w:w="1275" w:type="dxa"/>
          </w:tcPr>
          <w:p w14:paraId="66D7949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97.90</w:t>
            </w:r>
          </w:p>
        </w:tc>
        <w:tc>
          <w:tcPr>
            <w:tcW w:w="1275" w:type="dxa"/>
          </w:tcPr>
          <w:p w14:paraId="776C81AD"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98.10</w:t>
            </w:r>
          </w:p>
        </w:tc>
        <w:tc>
          <w:tcPr>
            <w:tcW w:w="1275" w:type="dxa"/>
          </w:tcPr>
          <w:p w14:paraId="18B7D0B9"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97.50</w:t>
            </w:r>
          </w:p>
        </w:tc>
        <w:tc>
          <w:tcPr>
            <w:tcW w:w="1275" w:type="dxa"/>
          </w:tcPr>
          <w:p w14:paraId="5ECEFAE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97.80</w:t>
            </w:r>
          </w:p>
        </w:tc>
      </w:tr>
      <w:tr w:rsidR="00FF2923" w:rsidRPr="00C76262" w14:paraId="748CCB55" w14:textId="77777777">
        <w:trPr>
          <w:trHeight w:val="312"/>
          <w:jc w:val="right"/>
        </w:trPr>
        <w:tc>
          <w:tcPr>
            <w:tcW w:w="1135" w:type="dxa"/>
            <w:vMerge/>
          </w:tcPr>
          <w:p w14:paraId="31DD37E7"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1275" w:type="dxa"/>
          </w:tcPr>
          <w:p w14:paraId="0EB65E2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2</w:t>
            </w:r>
          </w:p>
        </w:tc>
        <w:tc>
          <w:tcPr>
            <w:tcW w:w="1275" w:type="dxa"/>
          </w:tcPr>
          <w:p w14:paraId="0546D1B8"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98.30</w:t>
            </w:r>
          </w:p>
        </w:tc>
        <w:tc>
          <w:tcPr>
            <w:tcW w:w="1275" w:type="dxa"/>
          </w:tcPr>
          <w:p w14:paraId="08E82144"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98.35</w:t>
            </w:r>
          </w:p>
        </w:tc>
        <w:tc>
          <w:tcPr>
            <w:tcW w:w="1275" w:type="dxa"/>
          </w:tcPr>
          <w:p w14:paraId="4C50E1A1"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98.20</w:t>
            </w:r>
          </w:p>
        </w:tc>
        <w:tc>
          <w:tcPr>
            <w:tcW w:w="1275" w:type="dxa"/>
          </w:tcPr>
          <w:p w14:paraId="55ECB29B"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98.28</w:t>
            </w:r>
          </w:p>
        </w:tc>
      </w:tr>
      <w:tr w:rsidR="00FF2923" w:rsidRPr="00C76262" w14:paraId="2CBCE8CE" w14:textId="77777777">
        <w:trPr>
          <w:trHeight w:val="331"/>
          <w:jc w:val="right"/>
        </w:trPr>
        <w:tc>
          <w:tcPr>
            <w:tcW w:w="1135" w:type="dxa"/>
            <w:vMerge/>
          </w:tcPr>
          <w:p w14:paraId="586172B7" w14:textId="77777777" w:rsidR="00FF2923" w:rsidRPr="00C76262" w:rsidRDefault="00FF2923">
            <w:pPr>
              <w:adjustRightInd w:val="0"/>
              <w:snapToGrid w:val="0"/>
              <w:spacing w:after="0" w:line="240" w:lineRule="auto"/>
              <w:rPr>
                <w:rFonts w:ascii="Times New Roman" w:eastAsia="宋体" w:hAnsi="Times New Roman" w:cs="Times New Roman"/>
                <w:bCs/>
                <w:sz w:val="18"/>
                <w:szCs w:val="18"/>
                <w:lang w:val="ru-RU"/>
              </w:rPr>
            </w:pPr>
          </w:p>
        </w:tc>
        <w:tc>
          <w:tcPr>
            <w:tcW w:w="1275" w:type="dxa"/>
          </w:tcPr>
          <w:p w14:paraId="2D7AB39E"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Grade 3</w:t>
            </w:r>
          </w:p>
        </w:tc>
        <w:tc>
          <w:tcPr>
            <w:tcW w:w="1275" w:type="dxa"/>
          </w:tcPr>
          <w:p w14:paraId="574985C5"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98.45</w:t>
            </w:r>
          </w:p>
        </w:tc>
        <w:tc>
          <w:tcPr>
            <w:tcW w:w="1275" w:type="dxa"/>
          </w:tcPr>
          <w:p w14:paraId="3A9DBA7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98.50</w:t>
            </w:r>
          </w:p>
        </w:tc>
        <w:tc>
          <w:tcPr>
            <w:tcW w:w="1275" w:type="dxa"/>
          </w:tcPr>
          <w:p w14:paraId="5006861F"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98.10</w:t>
            </w:r>
          </w:p>
        </w:tc>
        <w:tc>
          <w:tcPr>
            <w:tcW w:w="1275" w:type="dxa"/>
          </w:tcPr>
          <w:p w14:paraId="255443E2" w14:textId="77777777" w:rsidR="00FF2923" w:rsidRPr="00C76262" w:rsidRDefault="00000000">
            <w:pPr>
              <w:adjustRightInd w:val="0"/>
              <w:snapToGrid w:val="0"/>
              <w:spacing w:after="0" w:line="240" w:lineRule="auto"/>
              <w:rPr>
                <w:rFonts w:ascii="Times New Roman" w:eastAsia="宋体" w:hAnsi="Times New Roman" w:cs="Times New Roman"/>
                <w:bCs/>
                <w:sz w:val="18"/>
                <w:szCs w:val="18"/>
                <w:lang w:val="ru-RU"/>
              </w:rPr>
            </w:pPr>
            <w:r w:rsidRPr="00C76262">
              <w:rPr>
                <w:rFonts w:ascii="Times New Roman" w:eastAsia="宋体" w:hAnsi="Times New Roman" w:cs="Times New Roman"/>
                <w:sz w:val="18"/>
                <w:szCs w:val="18"/>
                <w:lang w:val="ru-RU"/>
              </w:rPr>
              <w:t>98.30</w:t>
            </w:r>
          </w:p>
        </w:tc>
      </w:tr>
      <w:tr w:rsidR="00FF2923" w:rsidRPr="00C76262" w14:paraId="3D65FEFB" w14:textId="77777777">
        <w:trPr>
          <w:trHeight w:val="312"/>
          <w:jc w:val="right"/>
        </w:trPr>
        <w:tc>
          <w:tcPr>
            <w:tcW w:w="2410" w:type="dxa"/>
            <w:gridSpan w:val="2"/>
          </w:tcPr>
          <w:p w14:paraId="663BE70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 xml:space="preserve">Average </w:t>
            </w:r>
          </w:p>
        </w:tc>
        <w:tc>
          <w:tcPr>
            <w:tcW w:w="1275" w:type="dxa"/>
          </w:tcPr>
          <w:p w14:paraId="231BAAC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98.34</w:t>
            </w:r>
          </w:p>
        </w:tc>
        <w:tc>
          <w:tcPr>
            <w:tcW w:w="1275" w:type="dxa"/>
          </w:tcPr>
          <w:p w14:paraId="7772571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98.50</w:t>
            </w:r>
          </w:p>
        </w:tc>
        <w:tc>
          <w:tcPr>
            <w:tcW w:w="1275" w:type="dxa"/>
          </w:tcPr>
          <w:p w14:paraId="788441A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98.18</w:t>
            </w:r>
          </w:p>
        </w:tc>
        <w:tc>
          <w:tcPr>
            <w:tcW w:w="1275" w:type="dxa"/>
          </w:tcPr>
          <w:p w14:paraId="04D6BEE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98.34</w:t>
            </w:r>
          </w:p>
        </w:tc>
      </w:tr>
    </w:tbl>
    <w:p w14:paraId="0CF3A7F9"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 xml:space="preserve">3.3. Layer-wise results of the proposed </w:t>
      </w:r>
      <w:r w:rsidRPr="00C76262">
        <w:rPr>
          <w:rFonts w:ascii="Times New Roman" w:eastAsia="宋体" w:hAnsi="Times New Roman" w:cs="Times New Roman"/>
          <w:b/>
          <w:sz w:val="24"/>
          <w:szCs w:val="24"/>
          <w:lang w:val="ru-RU" w:eastAsia="zh-CN"/>
        </w:rPr>
        <w:t>d</w:t>
      </w:r>
      <w:r w:rsidRPr="00C76262">
        <w:rPr>
          <w:rFonts w:ascii="Times New Roman" w:eastAsia="宋体" w:hAnsi="Times New Roman" w:cs="Times New Roman"/>
          <w:b/>
          <w:sz w:val="24"/>
          <w:szCs w:val="24"/>
          <w:lang w:val="ru-RU"/>
        </w:rPr>
        <w:t xml:space="preserve">ual-branch ResCBAM with ViT-FSG </w:t>
      </w:r>
      <w:r w:rsidRPr="00C76262">
        <w:rPr>
          <w:rFonts w:ascii="Times New Roman" w:eastAsia="宋体" w:hAnsi="Times New Roman" w:cs="Times New Roman"/>
          <w:b/>
          <w:sz w:val="24"/>
          <w:szCs w:val="24"/>
          <w:lang w:val="ru-RU" w:eastAsia="zh-CN"/>
        </w:rPr>
        <w:t>m</w:t>
      </w:r>
      <w:r w:rsidRPr="00C76262">
        <w:rPr>
          <w:rFonts w:ascii="Times New Roman" w:eastAsia="宋体" w:hAnsi="Times New Roman" w:cs="Times New Roman"/>
          <w:b/>
          <w:sz w:val="24"/>
          <w:szCs w:val="24"/>
          <w:lang w:val="ru-RU"/>
        </w:rPr>
        <w:t>odel</w:t>
      </w:r>
    </w:p>
    <w:p w14:paraId="7A7FA530"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This section presents the layer-wise experimental outcomes of the proposed </w:t>
      </w:r>
      <w:proofErr w:type="spellStart"/>
      <w:r w:rsidRPr="00C76262">
        <w:rPr>
          <w:rFonts w:ascii="Times New Roman" w:eastAsia="宋体" w:hAnsi="Times New Roman" w:cs="Times New Roman"/>
          <w:szCs w:val="24"/>
          <w:lang w:val="en-US"/>
        </w:rPr>
        <w:t>ResCBAM</w:t>
      </w:r>
      <w:proofErr w:type="spellEnd"/>
      <w:r w:rsidRPr="00C76262">
        <w:rPr>
          <w:rFonts w:ascii="Times New Roman" w:eastAsia="宋体" w:hAnsi="Times New Roman" w:cs="Times New Roman"/>
          <w:szCs w:val="24"/>
          <w:lang w:val="en-US"/>
        </w:rPr>
        <w:t xml:space="preserve"> with the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-FSG model. This result explains how the model grades lung cancer using the histopathological lung images. This illustrates the experimental portions, including ResNet-18 (stem Layer), ResNet-18 (Tail Layer), CBAM, and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-FSG. The obtained outcomes are represented in </w:t>
      </w:r>
      <w:r w:rsidRPr="00C76262">
        <w:rPr>
          <w:rFonts w:ascii="Times New Roman" w:eastAsia="宋体" w:hAnsi="Times New Roman" w:cs="Times New Roman"/>
          <w:b/>
          <w:bCs/>
          <w:szCs w:val="24"/>
          <w:lang w:val="en-US"/>
        </w:rPr>
        <w:t xml:space="preserve">Figure </w:t>
      </w:r>
      <w:r w:rsidRPr="00C76262">
        <w:rPr>
          <w:rFonts w:ascii="Times New Roman" w:eastAsia="宋体" w:hAnsi="Times New Roman" w:cs="Times New Roman"/>
          <w:b/>
          <w:bCs/>
          <w:szCs w:val="24"/>
          <w:lang w:val="en-US" w:eastAsia="zh-CN"/>
        </w:rPr>
        <w:t>4</w:t>
      </w:r>
      <w:r w:rsidRPr="00C76262">
        <w:rPr>
          <w:rFonts w:ascii="Times New Roman" w:eastAsia="宋体" w:hAnsi="Times New Roman" w:cs="Times New Roman"/>
          <w:szCs w:val="24"/>
          <w:lang w:val="en-US"/>
        </w:rPr>
        <w:t xml:space="preserve">. </w:t>
      </w:r>
    </w:p>
    <w:p w14:paraId="0DF12950" w14:textId="77777777" w:rsidR="00FF2923" w:rsidRPr="00C76262" w:rsidRDefault="00000000">
      <w:pPr>
        <w:adjustRightInd w:val="0"/>
        <w:snapToGrid w:val="0"/>
        <w:spacing w:before="240" w:after="0" w:line="240" w:lineRule="auto"/>
        <w:jc w:val="center"/>
        <w:rPr>
          <w:rFonts w:ascii="Times New Roman" w:hAnsi="Times New Roman" w:cs="Times New Roman"/>
          <w:sz w:val="20"/>
          <w:szCs w:val="20"/>
          <w:lang w:val="en-US"/>
        </w:rPr>
      </w:pPr>
      <w:r w:rsidRPr="00C76262">
        <w:rPr>
          <w:rFonts w:ascii="Times New Roman" w:hAnsi="Times New Roman" w:cs="Times New Roman"/>
          <w:noProof/>
          <w:sz w:val="20"/>
          <w:szCs w:val="20"/>
          <w:lang w:eastAsia="en-IN"/>
          <w14:ligatures w14:val="standardContextual"/>
        </w:rPr>
        <w:lastRenderedPageBreak/>
        <w:drawing>
          <wp:inline distT="0" distB="0" distL="0" distR="0" wp14:anchorId="092CA1B5" wp14:editId="10444E0F">
            <wp:extent cx="5686425" cy="2835910"/>
            <wp:effectExtent l="0" t="0" r="0" b="2540"/>
            <wp:docPr id="166621027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10273" name="Graphic 4"/>
                    <pic:cNvPicPr>
                      <a:picLocks noChangeAspect="1"/>
                    </pic:cNvPicPr>
                  </pic:nvPicPr>
                  <pic:blipFill>
                    <a:blip r:embed="rId26">
                      <a:extLst>
                        <a:ext uri="{96DAC541-7B7A-43D3-8B79-37D633B846F1}">
                          <asvg:svgBlip xmlns:asvg="http://schemas.microsoft.com/office/drawing/2016/SVG/main" r:embed="rId27"/>
                        </a:ext>
                      </a:extLst>
                    </a:blip>
                    <a:srcRect l="801" t="3206" r="1442" b="3525"/>
                    <a:stretch>
                      <a:fillRect/>
                    </a:stretch>
                  </pic:blipFill>
                  <pic:spPr>
                    <a:xfrm>
                      <a:off x="0" y="0"/>
                      <a:ext cx="5686425" cy="2836013"/>
                    </a:xfrm>
                    <a:prstGeom prst="rect">
                      <a:avLst/>
                    </a:prstGeom>
                  </pic:spPr>
                </pic:pic>
              </a:graphicData>
            </a:graphic>
          </wp:inline>
        </w:drawing>
      </w:r>
    </w:p>
    <w:p w14:paraId="77CA93BD" w14:textId="77777777" w:rsidR="00FF2923" w:rsidRPr="00C76262" w:rsidRDefault="00000000">
      <w:pPr>
        <w:adjustRightInd w:val="0"/>
        <w:snapToGrid w:val="0"/>
        <w:spacing w:before="60" w:after="240" w:line="288" w:lineRule="auto"/>
        <w:rPr>
          <w:rFonts w:ascii="Times New Roman" w:eastAsiaTheme="minorEastAsia" w:hAnsi="Times New Roman" w:cs="Times New Roman"/>
          <w:lang w:eastAsia="zh-CN"/>
        </w:rPr>
      </w:pPr>
      <w:r w:rsidRPr="00C76262">
        <w:rPr>
          <w:rFonts w:ascii="Times New Roman" w:eastAsia="宋体" w:hAnsi="Times New Roman" w:cs="Times New Roman"/>
          <w:b/>
          <w:bCs/>
          <w:lang w:val="ru-RU"/>
        </w:rPr>
        <w:t xml:space="preserve">Figure </w:t>
      </w:r>
      <w:r w:rsidRPr="00C76262">
        <w:rPr>
          <w:rFonts w:ascii="Times New Roman" w:eastAsia="宋体" w:hAnsi="Times New Roman" w:cs="Times New Roman"/>
          <w:b/>
          <w:bCs/>
          <w:lang w:val="ru-RU" w:eastAsia="zh-CN"/>
        </w:rPr>
        <w:t>4</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Layer-wise results of the proposed ResCBAM-ViTFSG model</w:t>
      </w:r>
      <w:r w:rsidRPr="00C76262">
        <w:rPr>
          <w:rFonts w:ascii="Times New Roman" w:eastAsia="宋体" w:hAnsi="Times New Roman" w:cs="Times New Roman"/>
          <w:lang w:val="en-US"/>
        </w:rPr>
        <w:t xml:space="preserve"> for lung cancer grading</w:t>
      </w:r>
      <w:r w:rsidRPr="00C76262">
        <w:rPr>
          <w:rFonts w:ascii="Times New Roman" w:eastAsia="宋体" w:hAnsi="Times New Roman" w:cs="Times New Roman"/>
          <w:lang w:val="ru-RU"/>
        </w:rPr>
        <w:t xml:space="preserve">. </w:t>
      </w:r>
      <w:r w:rsidRPr="00C76262">
        <w:rPr>
          <w:rFonts w:ascii="Times New Roman" w:eastAsia="宋体" w:hAnsi="Times New Roman" w:cs="Times New Roman"/>
          <w:lang w:val="en-US"/>
        </w:rPr>
        <w:t xml:space="preserve">Row1: </w:t>
      </w:r>
      <w:r w:rsidRPr="00C76262">
        <w:rPr>
          <w:rFonts w:ascii="Times New Roman" w:eastAsiaTheme="minorEastAsia" w:hAnsi="Times New Roman" w:cs="Times New Roman"/>
          <w:lang w:eastAsia="zh-CN"/>
        </w:rPr>
        <w:t>L</w:t>
      </w:r>
      <w:r w:rsidRPr="00C76262">
        <w:rPr>
          <w:rFonts w:ascii="Times New Roman" w:hAnsi="Times New Roman" w:cs="Times New Roman"/>
        </w:rPr>
        <w:t xml:space="preserve">ocal morphological feature extraction obtained from the ResNet18 stem layers. Row 2: </w:t>
      </w:r>
      <w:r w:rsidRPr="00C76262">
        <w:rPr>
          <w:rFonts w:ascii="Times New Roman" w:eastAsiaTheme="minorEastAsia" w:hAnsi="Times New Roman" w:cs="Times New Roman"/>
          <w:lang w:eastAsia="zh-CN"/>
        </w:rPr>
        <w:t>D</w:t>
      </w:r>
      <w:r w:rsidRPr="00C76262">
        <w:rPr>
          <w:rFonts w:ascii="Times New Roman" w:hAnsi="Times New Roman" w:cs="Times New Roman"/>
        </w:rPr>
        <w:t xml:space="preserve">eeper local discriminative feature representations extracted from the ResNet18 tail layers. Row 3: </w:t>
      </w:r>
      <w:r w:rsidRPr="00C76262">
        <w:rPr>
          <w:rFonts w:ascii="Times New Roman" w:eastAsiaTheme="minorEastAsia" w:hAnsi="Times New Roman" w:cs="Times New Roman"/>
          <w:lang w:eastAsia="zh-CN"/>
        </w:rPr>
        <w:t>F</w:t>
      </w:r>
      <w:r w:rsidRPr="00C76262">
        <w:rPr>
          <w:rFonts w:ascii="Times New Roman" w:hAnsi="Times New Roman" w:cs="Times New Roman"/>
        </w:rPr>
        <w:t xml:space="preserve">eature maps generated through the CBAM module. Row 4: </w:t>
      </w:r>
      <w:r w:rsidRPr="00C76262">
        <w:rPr>
          <w:rFonts w:ascii="Times New Roman" w:eastAsiaTheme="minorEastAsia" w:hAnsi="Times New Roman" w:cs="Times New Roman"/>
          <w:lang w:eastAsia="zh-CN"/>
        </w:rPr>
        <w:t>G</w:t>
      </w:r>
      <w:r w:rsidRPr="00C76262">
        <w:rPr>
          <w:rFonts w:ascii="Times New Roman" w:hAnsi="Times New Roman" w:cs="Times New Roman"/>
        </w:rPr>
        <w:t xml:space="preserve">lobal contextual feature representations extracted using the </w:t>
      </w:r>
      <w:proofErr w:type="spellStart"/>
      <w:r w:rsidRPr="00C76262">
        <w:rPr>
          <w:rFonts w:ascii="Times New Roman" w:hAnsi="Times New Roman" w:cs="Times New Roman"/>
        </w:rPr>
        <w:t>ViTFSG</w:t>
      </w:r>
      <w:proofErr w:type="spellEnd"/>
      <w:r w:rsidRPr="00C76262">
        <w:rPr>
          <w:rFonts w:ascii="Times New Roman" w:hAnsi="Times New Roman" w:cs="Times New Roman"/>
        </w:rPr>
        <w:t xml:space="preserve"> branch.</w:t>
      </w:r>
    </w:p>
    <w:p w14:paraId="3192A3E9"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 xml:space="preserve">3.4. Extracted feature counts from the LungHist700 </w:t>
      </w:r>
      <w:r w:rsidRPr="00C76262">
        <w:rPr>
          <w:rFonts w:ascii="Times New Roman" w:eastAsia="宋体" w:hAnsi="Times New Roman" w:cs="Times New Roman"/>
          <w:b/>
          <w:sz w:val="24"/>
          <w:szCs w:val="24"/>
          <w:lang w:val="ru-RU" w:eastAsia="zh-CN"/>
        </w:rPr>
        <w:t>d</w:t>
      </w:r>
      <w:r w:rsidRPr="00C76262">
        <w:rPr>
          <w:rFonts w:ascii="Times New Roman" w:eastAsia="宋体" w:hAnsi="Times New Roman" w:cs="Times New Roman"/>
          <w:b/>
          <w:sz w:val="24"/>
          <w:szCs w:val="24"/>
          <w:lang w:val="ru-RU"/>
        </w:rPr>
        <w:t>ataset</w:t>
      </w:r>
    </w:p>
    <w:p w14:paraId="61A6EAFF"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5</w:t>
      </w:r>
      <w:r w:rsidRPr="00C76262">
        <w:rPr>
          <w:rFonts w:ascii="Times New Roman" w:eastAsia="宋体" w:hAnsi="Times New Roman" w:cs="Times New Roman"/>
          <w:szCs w:val="24"/>
          <w:lang w:val="en-US"/>
        </w:rPr>
        <w:t xml:space="preserve"> presents the per-class extracted feature counts obtained from the LungHist700 dataset using the proposed hybrid attention-based DL framework. Each image in the dataset generates local features through the ResNet18 + CBAM branch and extracts global features through the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 + FSG branch. After fusion, this results in combined fused features as represented in the table. Across all seven grades, the average extracted features are listed in the table below. The feature extraction process is uniformly distributed across classes, ensuring that no category is underrepresented during model training. By combining local cellular-level details and global context such as tissue-level structures, the fused representation achieves a balanced and discriminative feature set. This uniformity enhances the generalization capability of the model, reducing class imbalance bias and strengthening its ability to accurately grade tumors across all differentiation levels.</w:t>
      </w:r>
    </w:p>
    <w:p w14:paraId="5B92322B" w14:textId="77777777" w:rsidR="00FF2923" w:rsidRPr="00C76262" w:rsidRDefault="00000000">
      <w:pPr>
        <w:adjustRightInd w:val="0"/>
        <w:snapToGrid w:val="0"/>
        <w:spacing w:before="240" w:after="60" w:line="288" w:lineRule="auto"/>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5</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Features extracted from each class of the dataset</w:t>
      </w:r>
      <w:r w:rsidRPr="00C76262">
        <w:rPr>
          <w:rFonts w:ascii="Times New Roman" w:eastAsia="宋体" w:hAnsi="Times New Roman" w:cs="Times New Roman"/>
          <w:lang w:val="en-US"/>
        </w:rPr>
        <w:t>.</w:t>
      </w:r>
    </w:p>
    <w:tbl>
      <w:tblPr>
        <w:tblStyle w:val="af2"/>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563"/>
        <w:gridCol w:w="1209"/>
        <w:gridCol w:w="3738"/>
        <w:gridCol w:w="2138"/>
        <w:gridCol w:w="1558"/>
      </w:tblGrid>
      <w:tr w:rsidR="00FF2923" w:rsidRPr="00C76262" w14:paraId="6B0BE162" w14:textId="77777777">
        <w:trPr>
          <w:jc w:val="center"/>
        </w:trPr>
        <w:tc>
          <w:tcPr>
            <w:tcW w:w="1563" w:type="dxa"/>
            <w:tcBorders>
              <w:top w:val="single" w:sz="8" w:space="0" w:color="auto"/>
              <w:bottom w:val="single" w:sz="4" w:space="0" w:color="auto"/>
            </w:tcBorders>
          </w:tcPr>
          <w:p w14:paraId="129B8D4A"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Lung cancer grade</w:t>
            </w:r>
          </w:p>
        </w:tc>
        <w:tc>
          <w:tcPr>
            <w:tcW w:w="1209" w:type="dxa"/>
            <w:tcBorders>
              <w:top w:val="single" w:sz="8" w:space="0" w:color="auto"/>
              <w:bottom w:val="single" w:sz="4" w:space="0" w:color="auto"/>
            </w:tcBorders>
          </w:tcPr>
          <w:p w14:paraId="74881869"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 xml:space="preserve">No. of </w:t>
            </w:r>
            <w:r w:rsidRPr="00C76262">
              <w:rPr>
                <w:rFonts w:ascii="Times New Roman" w:eastAsia="宋体" w:hAnsi="Times New Roman" w:cs="Times New Roman"/>
                <w:b/>
                <w:bCs/>
                <w:sz w:val="18"/>
                <w:szCs w:val="18"/>
                <w:lang w:val="ru-RU" w:eastAsia="zh-CN"/>
              </w:rPr>
              <w:t>i</w:t>
            </w:r>
            <w:r w:rsidRPr="00C76262">
              <w:rPr>
                <w:rFonts w:ascii="Times New Roman" w:eastAsia="宋体" w:hAnsi="Times New Roman" w:cs="Times New Roman"/>
                <w:b/>
                <w:bCs/>
                <w:sz w:val="18"/>
                <w:szCs w:val="18"/>
                <w:lang w:val="ru-RU"/>
              </w:rPr>
              <w:t>mages</w:t>
            </w:r>
          </w:p>
        </w:tc>
        <w:tc>
          <w:tcPr>
            <w:tcW w:w="3738" w:type="dxa"/>
            <w:tcBorders>
              <w:top w:val="single" w:sz="8" w:space="0" w:color="auto"/>
              <w:bottom w:val="single" w:sz="4" w:space="0" w:color="auto"/>
            </w:tcBorders>
          </w:tcPr>
          <w:p w14:paraId="241D6DC1"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 xml:space="preserve">ResNet18 + CBAM (Local features Avg </w:t>
            </w:r>
            <w:r w:rsidRPr="00C76262">
              <w:rPr>
                <w:rFonts w:ascii="Times New Roman" w:eastAsia="宋体" w:hAnsi="Times New Roman" w:cs="Times New Roman"/>
                <w:b/>
                <w:bCs/>
                <w:sz w:val="18"/>
                <w:szCs w:val="18"/>
                <w:lang w:val="ru-RU" w:eastAsia="zh-CN"/>
              </w:rPr>
              <w:t>n</w:t>
            </w:r>
            <w:r w:rsidRPr="00C76262">
              <w:rPr>
                <w:rFonts w:ascii="Times New Roman" w:eastAsia="宋体" w:hAnsi="Times New Roman" w:cs="Times New Roman"/>
                <w:b/>
                <w:bCs/>
                <w:sz w:val="18"/>
                <w:szCs w:val="18"/>
                <w:lang w:val="ru-RU"/>
              </w:rPr>
              <w:t>orm)</w:t>
            </w:r>
          </w:p>
        </w:tc>
        <w:tc>
          <w:tcPr>
            <w:tcW w:w="2138" w:type="dxa"/>
            <w:tcBorders>
              <w:top w:val="single" w:sz="8" w:space="0" w:color="auto"/>
              <w:bottom w:val="single" w:sz="4" w:space="0" w:color="auto"/>
            </w:tcBorders>
          </w:tcPr>
          <w:p w14:paraId="18085776"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ViT + FSG (</w:t>
            </w:r>
            <w:r w:rsidRPr="00C76262">
              <w:rPr>
                <w:rFonts w:ascii="Times New Roman" w:eastAsia="宋体" w:hAnsi="Times New Roman" w:cs="Times New Roman"/>
                <w:b/>
                <w:bCs/>
                <w:sz w:val="18"/>
                <w:szCs w:val="18"/>
                <w:lang w:val="ru-RU" w:eastAsia="zh-CN"/>
              </w:rPr>
              <w:t>g</w:t>
            </w:r>
            <w:r w:rsidRPr="00C76262">
              <w:rPr>
                <w:rFonts w:ascii="Times New Roman" w:eastAsia="宋体" w:hAnsi="Times New Roman" w:cs="Times New Roman"/>
                <w:b/>
                <w:bCs/>
                <w:sz w:val="18"/>
                <w:szCs w:val="18"/>
                <w:lang w:val="ru-RU"/>
              </w:rPr>
              <w:t xml:space="preserve">lobal features </w:t>
            </w:r>
            <w:r w:rsidRPr="00C76262">
              <w:rPr>
                <w:rFonts w:ascii="Times New Roman" w:eastAsia="宋体" w:hAnsi="Times New Roman" w:cs="Times New Roman"/>
                <w:b/>
                <w:bCs/>
                <w:sz w:val="18"/>
                <w:szCs w:val="18"/>
                <w:lang w:val="ru-RU" w:eastAsia="zh-CN"/>
              </w:rPr>
              <w:t>A</w:t>
            </w:r>
            <w:r w:rsidRPr="00C76262">
              <w:rPr>
                <w:rFonts w:ascii="Times New Roman" w:eastAsia="宋体" w:hAnsi="Times New Roman" w:cs="Times New Roman"/>
                <w:b/>
                <w:bCs/>
                <w:sz w:val="18"/>
                <w:szCs w:val="18"/>
                <w:lang w:val="ru-RU"/>
              </w:rPr>
              <w:t xml:space="preserve">vg </w:t>
            </w:r>
            <w:r w:rsidRPr="00C76262">
              <w:rPr>
                <w:rFonts w:ascii="Times New Roman" w:eastAsia="宋体" w:hAnsi="Times New Roman" w:cs="Times New Roman"/>
                <w:b/>
                <w:bCs/>
                <w:sz w:val="18"/>
                <w:szCs w:val="18"/>
                <w:lang w:val="ru-RU" w:eastAsia="zh-CN"/>
              </w:rPr>
              <w:t>n</w:t>
            </w:r>
            <w:r w:rsidRPr="00C76262">
              <w:rPr>
                <w:rFonts w:ascii="Times New Roman" w:eastAsia="宋体" w:hAnsi="Times New Roman" w:cs="Times New Roman"/>
                <w:b/>
                <w:bCs/>
                <w:sz w:val="18"/>
                <w:szCs w:val="18"/>
                <w:lang w:val="ru-RU"/>
              </w:rPr>
              <w:t>orm)</w:t>
            </w:r>
          </w:p>
        </w:tc>
        <w:tc>
          <w:tcPr>
            <w:tcW w:w="1558" w:type="dxa"/>
            <w:tcBorders>
              <w:top w:val="single" w:sz="8" w:space="0" w:color="auto"/>
              <w:bottom w:val="single" w:sz="4" w:space="0" w:color="auto"/>
            </w:tcBorders>
          </w:tcPr>
          <w:p w14:paraId="13101540"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 xml:space="preserve">Fused </w:t>
            </w:r>
            <w:r w:rsidRPr="00C76262">
              <w:rPr>
                <w:rFonts w:ascii="Times New Roman" w:eastAsia="宋体" w:hAnsi="Times New Roman" w:cs="Times New Roman"/>
                <w:b/>
                <w:bCs/>
                <w:sz w:val="18"/>
                <w:szCs w:val="18"/>
                <w:lang w:val="ru-RU" w:eastAsia="zh-CN"/>
              </w:rPr>
              <w:t>f</w:t>
            </w:r>
            <w:r w:rsidRPr="00C76262">
              <w:rPr>
                <w:rFonts w:ascii="Times New Roman" w:eastAsia="宋体" w:hAnsi="Times New Roman" w:cs="Times New Roman"/>
                <w:b/>
                <w:bCs/>
                <w:sz w:val="18"/>
                <w:szCs w:val="18"/>
                <w:lang w:val="ru-RU"/>
              </w:rPr>
              <w:t>eatures (</w:t>
            </w:r>
            <w:r w:rsidRPr="00C76262">
              <w:rPr>
                <w:rFonts w:ascii="Times New Roman" w:eastAsia="宋体" w:hAnsi="Times New Roman" w:cs="Times New Roman"/>
                <w:b/>
                <w:bCs/>
                <w:sz w:val="18"/>
                <w:szCs w:val="18"/>
                <w:lang w:val="ru-RU" w:eastAsia="zh-CN"/>
              </w:rPr>
              <w:t>A</w:t>
            </w:r>
            <w:r w:rsidRPr="00C76262">
              <w:rPr>
                <w:rFonts w:ascii="Times New Roman" w:eastAsia="宋体" w:hAnsi="Times New Roman" w:cs="Times New Roman"/>
                <w:b/>
                <w:bCs/>
                <w:sz w:val="18"/>
                <w:szCs w:val="18"/>
                <w:lang w:val="ru-RU"/>
              </w:rPr>
              <w:t xml:space="preserve">vg </w:t>
            </w:r>
            <w:r w:rsidRPr="00C76262">
              <w:rPr>
                <w:rFonts w:ascii="Times New Roman" w:eastAsia="宋体" w:hAnsi="Times New Roman" w:cs="Times New Roman"/>
                <w:b/>
                <w:bCs/>
                <w:sz w:val="18"/>
                <w:szCs w:val="18"/>
                <w:lang w:val="ru-RU" w:eastAsia="zh-CN"/>
              </w:rPr>
              <w:t>n</w:t>
            </w:r>
            <w:r w:rsidRPr="00C76262">
              <w:rPr>
                <w:rFonts w:ascii="Times New Roman" w:eastAsia="宋体" w:hAnsi="Times New Roman" w:cs="Times New Roman"/>
                <w:b/>
                <w:bCs/>
                <w:sz w:val="18"/>
                <w:szCs w:val="18"/>
                <w:lang w:val="ru-RU"/>
              </w:rPr>
              <w:t>orm)</w:t>
            </w:r>
          </w:p>
        </w:tc>
      </w:tr>
      <w:tr w:rsidR="00FF2923" w:rsidRPr="00C76262" w14:paraId="25F977F8" w14:textId="77777777">
        <w:trPr>
          <w:jc w:val="center"/>
        </w:trPr>
        <w:tc>
          <w:tcPr>
            <w:tcW w:w="1563" w:type="dxa"/>
            <w:tcBorders>
              <w:top w:val="single" w:sz="4" w:space="0" w:color="auto"/>
            </w:tcBorders>
          </w:tcPr>
          <w:p w14:paraId="41D2621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ADC-grade 1</w:t>
            </w:r>
          </w:p>
        </w:tc>
        <w:tc>
          <w:tcPr>
            <w:tcW w:w="1209" w:type="dxa"/>
            <w:tcBorders>
              <w:top w:val="single" w:sz="4" w:space="0" w:color="auto"/>
            </w:tcBorders>
          </w:tcPr>
          <w:p w14:paraId="3F09DF0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103</w:t>
            </w:r>
          </w:p>
        </w:tc>
        <w:tc>
          <w:tcPr>
            <w:tcW w:w="3738" w:type="dxa"/>
            <w:tcBorders>
              <w:top w:val="single" w:sz="4" w:space="0" w:color="auto"/>
            </w:tcBorders>
          </w:tcPr>
          <w:p w14:paraId="78BCEA4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145.28</w:t>
            </w:r>
          </w:p>
        </w:tc>
        <w:tc>
          <w:tcPr>
            <w:tcW w:w="2138" w:type="dxa"/>
            <w:tcBorders>
              <w:top w:val="single" w:sz="4" w:space="0" w:color="auto"/>
            </w:tcBorders>
          </w:tcPr>
          <w:p w14:paraId="02737EA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84.13</w:t>
            </w:r>
          </w:p>
        </w:tc>
        <w:tc>
          <w:tcPr>
            <w:tcW w:w="1558" w:type="dxa"/>
            <w:tcBorders>
              <w:top w:val="single" w:sz="4" w:space="0" w:color="auto"/>
            </w:tcBorders>
          </w:tcPr>
          <w:p w14:paraId="23CDB73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169.48</w:t>
            </w:r>
          </w:p>
        </w:tc>
      </w:tr>
      <w:tr w:rsidR="00FF2923" w:rsidRPr="00C76262" w14:paraId="76A10428" w14:textId="77777777">
        <w:trPr>
          <w:jc w:val="center"/>
        </w:trPr>
        <w:tc>
          <w:tcPr>
            <w:tcW w:w="1563" w:type="dxa"/>
          </w:tcPr>
          <w:p w14:paraId="6E7C332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ADC-grade 2</w:t>
            </w:r>
          </w:p>
        </w:tc>
        <w:tc>
          <w:tcPr>
            <w:tcW w:w="1209" w:type="dxa"/>
          </w:tcPr>
          <w:p w14:paraId="2DC3DCC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90</w:t>
            </w:r>
          </w:p>
        </w:tc>
        <w:tc>
          <w:tcPr>
            <w:tcW w:w="3738" w:type="dxa"/>
          </w:tcPr>
          <w:p w14:paraId="4DFA78C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129.58</w:t>
            </w:r>
          </w:p>
        </w:tc>
        <w:tc>
          <w:tcPr>
            <w:tcW w:w="2138" w:type="dxa"/>
          </w:tcPr>
          <w:p w14:paraId="1CF7DE4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84.14</w:t>
            </w:r>
          </w:p>
        </w:tc>
        <w:tc>
          <w:tcPr>
            <w:tcW w:w="1558" w:type="dxa"/>
          </w:tcPr>
          <w:p w14:paraId="6C182DC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157.17</w:t>
            </w:r>
          </w:p>
        </w:tc>
      </w:tr>
      <w:tr w:rsidR="00FF2923" w:rsidRPr="00C76262" w14:paraId="2FC4A39D" w14:textId="77777777">
        <w:trPr>
          <w:jc w:val="center"/>
        </w:trPr>
        <w:tc>
          <w:tcPr>
            <w:tcW w:w="1563" w:type="dxa"/>
          </w:tcPr>
          <w:p w14:paraId="1A295CD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ADC-grade 3</w:t>
            </w:r>
          </w:p>
        </w:tc>
        <w:tc>
          <w:tcPr>
            <w:tcW w:w="1209" w:type="dxa"/>
          </w:tcPr>
          <w:p w14:paraId="3FDC0DC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87</w:t>
            </w:r>
          </w:p>
        </w:tc>
        <w:tc>
          <w:tcPr>
            <w:tcW w:w="3738" w:type="dxa"/>
          </w:tcPr>
          <w:p w14:paraId="780A864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88.11</w:t>
            </w:r>
          </w:p>
        </w:tc>
        <w:tc>
          <w:tcPr>
            <w:tcW w:w="2138" w:type="dxa"/>
          </w:tcPr>
          <w:p w14:paraId="46CE47F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84.14</w:t>
            </w:r>
          </w:p>
        </w:tc>
        <w:tc>
          <w:tcPr>
            <w:tcW w:w="1558" w:type="dxa"/>
          </w:tcPr>
          <w:p w14:paraId="72AB46B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123.71</w:t>
            </w:r>
          </w:p>
        </w:tc>
      </w:tr>
      <w:tr w:rsidR="00FF2923" w:rsidRPr="00C76262" w14:paraId="7811E1CE" w14:textId="77777777">
        <w:trPr>
          <w:jc w:val="center"/>
        </w:trPr>
        <w:tc>
          <w:tcPr>
            <w:tcW w:w="1563" w:type="dxa"/>
          </w:tcPr>
          <w:p w14:paraId="25C57C4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Normal</w:t>
            </w:r>
          </w:p>
        </w:tc>
        <w:tc>
          <w:tcPr>
            <w:tcW w:w="1209" w:type="dxa"/>
          </w:tcPr>
          <w:p w14:paraId="243E6DA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151</w:t>
            </w:r>
          </w:p>
        </w:tc>
        <w:tc>
          <w:tcPr>
            <w:tcW w:w="3738" w:type="dxa"/>
          </w:tcPr>
          <w:p w14:paraId="0A00F3F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122.94</w:t>
            </w:r>
          </w:p>
        </w:tc>
        <w:tc>
          <w:tcPr>
            <w:tcW w:w="2138" w:type="dxa"/>
          </w:tcPr>
          <w:p w14:paraId="619CE85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84.13</w:t>
            </w:r>
          </w:p>
        </w:tc>
        <w:tc>
          <w:tcPr>
            <w:tcW w:w="1558" w:type="dxa"/>
          </w:tcPr>
          <w:p w14:paraId="5B8AD4C8"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149.78</w:t>
            </w:r>
          </w:p>
        </w:tc>
      </w:tr>
      <w:tr w:rsidR="00FF2923" w:rsidRPr="00C76262" w14:paraId="27B15957" w14:textId="77777777">
        <w:trPr>
          <w:jc w:val="center"/>
        </w:trPr>
        <w:tc>
          <w:tcPr>
            <w:tcW w:w="1563" w:type="dxa"/>
          </w:tcPr>
          <w:p w14:paraId="6110A44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LUSC-grade 1</w:t>
            </w:r>
          </w:p>
        </w:tc>
        <w:tc>
          <w:tcPr>
            <w:tcW w:w="1209" w:type="dxa"/>
          </w:tcPr>
          <w:p w14:paraId="567B2F2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99</w:t>
            </w:r>
          </w:p>
        </w:tc>
        <w:tc>
          <w:tcPr>
            <w:tcW w:w="3738" w:type="dxa"/>
          </w:tcPr>
          <w:p w14:paraId="4ECCD29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161.79</w:t>
            </w:r>
          </w:p>
        </w:tc>
        <w:tc>
          <w:tcPr>
            <w:tcW w:w="2138" w:type="dxa"/>
          </w:tcPr>
          <w:p w14:paraId="22B6F7F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84.16</w:t>
            </w:r>
          </w:p>
        </w:tc>
        <w:tc>
          <w:tcPr>
            <w:tcW w:w="1558" w:type="dxa"/>
          </w:tcPr>
          <w:p w14:paraId="605493A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184.27</w:t>
            </w:r>
          </w:p>
        </w:tc>
      </w:tr>
      <w:tr w:rsidR="00FF2923" w:rsidRPr="00C76262" w14:paraId="421148B4" w14:textId="77777777">
        <w:trPr>
          <w:jc w:val="center"/>
        </w:trPr>
        <w:tc>
          <w:tcPr>
            <w:tcW w:w="1563" w:type="dxa"/>
          </w:tcPr>
          <w:p w14:paraId="59BD391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LUSC-grade 2</w:t>
            </w:r>
          </w:p>
        </w:tc>
        <w:tc>
          <w:tcPr>
            <w:tcW w:w="1209" w:type="dxa"/>
          </w:tcPr>
          <w:p w14:paraId="4B451DE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66</w:t>
            </w:r>
          </w:p>
        </w:tc>
        <w:tc>
          <w:tcPr>
            <w:tcW w:w="3738" w:type="dxa"/>
          </w:tcPr>
          <w:p w14:paraId="3599C16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97.90</w:t>
            </w:r>
          </w:p>
        </w:tc>
        <w:tc>
          <w:tcPr>
            <w:tcW w:w="2138" w:type="dxa"/>
          </w:tcPr>
          <w:p w14:paraId="669D37A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84.14</w:t>
            </w:r>
          </w:p>
        </w:tc>
        <w:tc>
          <w:tcPr>
            <w:tcW w:w="1558" w:type="dxa"/>
          </w:tcPr>
          <w:p w14:paraId="386CD41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130.27</w:t>
            </w:r>
          </w:p>
        </w:tc>
      </w:tr>
      <w:tr w:rsidR="00FF2923" w:rsidRPr="00C76262" w14:paraId="1E8B6DAF" w14:textId="77777777">
        <w:trPr>
          <w:jc w:val="center"/>
        </w:trPr>
        <w:tc>
          <w:tcPr>
            <w:tcW w:w="1563" w:type="dxa"/>
          </w:tcPr>
          <w:p w14:paraId="2C1EECC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LUSC-grade 3</w:t>
            </w:r>
          </w:p>
        </w:tc>
        <w:tc>
          <w:tcPr>
            <w:tcW w:w="1209" w:type="dxa"/>
          </w:tcPr>
          <w:p w14:paraId="396E111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w:t>
            </w:r>
          </w:p>
        </w:tc>
        <w:tc>
          <w:tcPr>
            <w:tcW w:w="3738" w:type="dxa"/>
          </w:tcPr>
          <w:p w14:paraId="4E91884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118.89</w:t>
            </w:r>
          </w:p>
        </w:tc>
        <w:tc>
          <w:tcPr>
            <w:tcW w:w="2138" w:type="dxa"/>
          </w:tcPr>
          <w:p w14:paraId="4026C49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84.15</w:t>
            </w:r>
          </w:p>
        </w:tc>
        <w:tc>
          <w:tcPr>
            <w:tcW w:w="1558" w:type="dxa"/>
          </w:tcPr>
          <w:p w14:paraId="2A51C8A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147.15</w:t>
            </w:r>
          </w:p>
        </w:tc>
      </w:tr>
      <w:tr w:rsidR="00FF2923" w:rsidRPr="00C76262" w14:paraId="6E54BE04" w14:textId="77777777">
        <w:trPr>
          <w:jc w:val="center"/>
        </w:trPr>
        <w:tc>
          <w:tcPr>
            <w:tcW w:w="1563" w:type="dxa"/>
          </w:tcPr>
          <w:p w14:paraId="65FBA33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 xml:space="preserve">Total </w:t>
            </w:r>
          </w:p>
        </w:tc>
        <w:tc>
          <w:tcPr>
            <w:tcW w:w="1209" w:type="dxa"/>
          </w:tcPr>
          <w:p w14:paraId="01B0A01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691</w:t>
            </w:r>
          </w:p>
        </w:tc>
        <w:tc>
          <w:tcPr>
            <w:tcW w:w="3738" w:type="dxa"/>
          </w:tcPr>
          <w:p w14:paraId="6FFA4D8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125.37</w:t>
            </w:r>
          </w:p>
        </w:tc>
        <w:tc>
          <w:tcPr>
            <w:tcW w:w="2138" w:type="dxa"/>
          </w:tcPr>
          <w:p w14:paraId="707DE0B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84.14</w:t>
            </w:r>
          </w:p>
        </w:tc>
        <w:tc>
          <w:tcPr>
            <w:tcW w:w="1558" w:type="dxa"/>
          </w:tcPr>
          <w:p w14:paraId="282353D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153.11</w:t>
            </w:r>
          </w:p>
        </w:tc>
      </w:tr>
    </w:tbl>
    <w:p w14:paraId="440A87E7"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lastRenderedPageBreak/>
        <w:t>3.5. Analysis of the proposed enhanced optimizer UAR-Adam</w:t>
      </w:r>
    </w:p>
    <w:p w14:paraId="630C8AD9"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b/>
          <w:bCs/>
          <w:szCs w:val="24"/>
          <w:lang w:val="en-US"/>
        </w:rPr>
        <w:t xml:space="preserve">Figure 5 </w:t>
      </w:r>
      <w:r w:rsidRPr="00C76262">
        <w:rPr>
          <w:rFonts w:ascii="Times New Roman" w:eastAsia="宋体" w:hAnsi="Times New Roman" w:cs="Times New Roman"/>
          <w:szCs w:val="24"/>
          <w:lang w:val="en-US"/>
        </w:rPr>
        <w:t xml:space="preserve">shows the calibration curve which assesses how well a model forecast probabilities align with real results, which is particularly crucial in clinical diagnosis. In this study, we used Monte Carlo Dropout for uncertainty estimation and the UAR-Adam optimizer for uncertainty-aware training. This results in well-calibrated probability scores, where the predicted confidence levels more accurately reflect true classification likelihoods. shows the calibration curve for the proposed model. This reflects improved model calibration facilitated by UAR-Adam, which enhances the trustworthiness and clinical applicability of the model’s predictions. We experimented with the proposed UAR-Adam optimizer with different Standard optimizers like </w:t>
      </w:r>
      <w:proofErr w:type="spellStart"/>
      <w:r w:rsidRPr="00C76262">
        <w:rPr>
          <w:rFonts w:ascii="Times New Roman" w:eastAsia="宋体" w:hAnsi="Times New Roman" w:cs="Times New Roman"/>
          <w:szCs w:val="24"/>
          <w:lang w:val="en-US"/>
        </w:rPr>
        <w:t>Adamax</w:t>
      </w:r>
      <w:proofErr w:type="spellEnd"/>
      <w:r w:rsidRPr="00C76262">
        <w:rPr>
          <w:rFonts w:ascii="Times New Roman" w:eastAsia="宋体" w:hAnsi="Times New Roman" w:cs="Times New Roman"/>
          <w:szCs w:val="24"/>
          <w:lang w:val="en-US"/>
        </w:rPr>
        <w:t xml:space="preserve">, RMS Prop, SGD, and Nadam to evaluate the impact on accuracy. The proposed UAR-Adam incorporates uncertainty estimation in weight updates. </w:t>
      </w:r>
    </w:p>
    <w:p w14:paraId="7337902E"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This analysis shows that the proposed UAR-Adam outperforms other optimizers, indicating that uncertainty awareness leads to a more stable optimization path, benefiting our lung cancer grading task. The proposed UAR-Adam optimizer with diverse epochs and learning rates confirm the proposed model’s performance, as shown in </w:t>
      </w: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6</w:t>
      </w:r>
      <w:r w:rsidRPr="00C76262">
        <w:rPr>
          <w:rFonts w:ascii="Times New Roman" w:eastAsia="宋体" w:hAnsi="Times New Roman" w:cs="Times New Roman"/>
          <w:szCs w:val="24"/>
          <w:lang w:val="en-US"/>
        </w:rPr>
        <w:t>. This shows how the proposed UAR-Adam optimizer improves the model’s performance.</w:t>
      </w:r>
    </w:p>
    <w:p w14:paraId="35A31D63" w14:textId="77777777" w:rsidR="00FF2923" w:rsidRPr="00C76262" w:rsidRDefault="00000000">
      <w:pPr>
        <w:adjustRightInd w:val="0"/>
        <w:snapToGrid w:val="0"/>
        <w:spacing w:before="240" w:after="0" w:line="240" w:lineRule="auto"/>
        <w:ind w:left="2948"/>
        <w:jc w:val="center"/>
        <w:rPr>
          <w:rFonts w:ascii="Times New Roman" w:hAnsi="Times New Roman" w:cs="Times New Roman"/>
          <w:b/>
          <w:bCs/>
          <w:sz w:val="20"/>
          <w:szCs w:val="20"/>
        </w:rPr>
      </w:pPr>
      <w:r w:rsidRPr="00C76262">
        <w:rPr>
          <w:rFonts w:ascii="Times New Roman" w:eastAsia="宋体" w:hAnsi="Times New Roman" w:cs="Times New Roman"/>
          <w:noProof/>
          <w:lang w:eastAsia="en-IN"/>
        </w:rPr>
        <w:drawing>
          <wp:inline distT="0" distB="0" distL="0" distR="0" wp14:anchorId="27735CDC" wp14:editId="0FBE1B5F">
            <wp:extent cx="4276725" cy="2276475"/>
            <wp:effectExtent l="0" t="0" r="9525" b="0"/>
            <wp:docPr id="11417228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22898" name="Graphic 1"/>
                    <pic:cNvPicPr>
                      <a:picLocks noChangeAspect="1"/>
                    </pic:cNvPicPr>
                  </pic:nvPicPr>
                  <pic:blipFill>
                    <a:blip r:embed="rId28">
                      <a:extLst>
                        <a:ext uri="{96DAC541-7B7A-43D3-8B79-37D633B846F1}">
                          <asvg:svgBlip xmlns:asvg="http://schemas.microsoft.com/office/drawing/2016/SVG/main" r:embed="rId29"/>
                        </a:ext>
                      </a:extLst>
                    </a:blip>
                    <a:srcRect l="6250" t="7837" r="6731" b="8282"/>
                    <a:stretch>
                      <a:fillRect/>
                    </a:stretch>
                  </pic:blipFill>
                  <pic:spPr>
                    <a:xfrm>
                      <a:off x="0" y="0"/>
                      <a:ext cx="4321915" cy="2300245"/>
                    </a:xfrm>
                    <a:prstGeom prst="rect">
                      <a:avLst/>
                    </a:prstGeom>
                  </pic:spPr>
                </pic:pic>
              </a:graphicData>
            </a:graphic>
          </wp:inline>
        </w:drawing>
      </w:r>
    </w:p>
    <w:p w14:paraId="4DAB2F5D" w14:textId="77777777" w:rsidR="00FF2923" w:rsidRPr="00C76262" w:rsidRDefault="00000000">
      <w:pPr>
        <w:widowControl w:val="0"/>
        <w:adjustRightInd w:val="0"/>
        <w:snapToGrid w:val="0"/>
        <w:spacing w:before="60" w:after="240" w:line="288" w:lineRule="auto"/>
        <w:ind w:left="2948"/>
        <w:jc w:val="center"/>
        <w:rPr>
          <w:rFonts w:ascii="Times New Roman" w:eastAsia="Times New Roman" w:hAnsi="Times New Roman" w:cs="Times New Roman"/>
          <w:szCs w:val="18"/>
          <w:lang w:val="en-US"/>
        </w:rPr>
      </w:pPr>
      <w:r w:rsidRPr="00C76262">
        <w:rPr>
          <w:rFonts w:ascii="Times New Roman" w:eastAsia="Times New Roman" w:hAnsi="Times New Roman" w:cs="Times New Roman"/>
          <w:b/>
          <w:bCs/>
          <w:szCs w:val="18"/>
          <w:lang w:val="ru-RU"/>
        </w:rPr>
        <w:t xml:space="preserve">Figure </w:t>
      </w:r>
      <w:r w:rsidRPr="00C76262">
        <w:rPr>
          <w:rFonts w:ascii="Times New Roman" w:eastAsiaTheme="minorEastAsia" w:hAnsi="Times New Roman" w:cs="Times New Roman"/>
          <w:b/>
          <w:bCs/>
          <w:szCs w:val="18"/>
          <w:lang w:val="ru-RU" w:eastAsia="zh-CN"/>
        </w:rPr>
        <w:t>5</w:t>
      </w:r>
      <w:r w:rsidRPr="00C76262">
        <w:rPr>
          <w:rFonts w:ascii="Times New Roman" w:eastAsia="Times New Roman" w:hAnsi="Times New Roman" w:cs="Times New Roman"/>
          <w:b/>
          <w:bCs/>
          <w:szCs w:val="18"/>
          <w:lang w:val="ru-RU"/>
        </w:rPr>
        <w:t>.</w:t>
      </w:r>
      <w:r w:rsidRPr="00C76262">
        <w:rPr>
          <w:rFonts w:ascii="Times New Roman" w:eastAsia="Times New Roman" w:hAnsi="Times New Roman" w:cs="Times New Roman"/>
          <w:szCs w:val="18"/>
          <w:lang w:val="ru-RU"/>
        </w:rPr>
        <w:t xml:space="preserve"> Proposed UAR-Adam optimizer’s calibration curve</w:t>
      </w:r>
      <w:r w:rsidRPr="00C76262">
        <w:rPr>
          <w:rFonts w:ascii="Times New Roman" w:eastAsia="Times New Roman" w:hAnsi="Times New Roman" w:cs="Times New Roman"/>
          <w:szCs w:val="18"/>
          <w:lang w:val="en-US"/>
        </w:rPr>
        <w:t>.</w:t>
      </w:r>
    </w:p>
    <w:p w14:paraId="3B44D8CE" w14:textId="77777777" w:rsidR="00FF2923" w:rsidRPr="00C76262" w:rsidRDefault="00000000">
      <w:pPr>
        <w:adjustRightInd w:val="0"/>
        <w:snapToGrid w:val="0"/>
        <w:spacing w:before="240" w:after="60" w:line="288" w:lineRule="auto"/>
        <w:rPr>
          <w:rFonts w:ascii="Times New Roman" w:eastAsia="宋体" w:hAnsi="Times New Roman" w:cs="Times New Roman"/>
          <w:lang w:val="ru-RU"/>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6</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Evaluation performance of the proposed hybrid attention-based DL model with different optimizers based on varied epochs and learning rate values.</w:t>
      </w:r>
    </w:p>
    <w:tbl>
      <w:tblPr>
        <w:tblStyle w:val="af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926"/>
        <w:gridCol w:w="1193"/>
        <w:gridCol w:w="1417"/>
        <w:gridCol w:w="1418"/>
        <w:gridCol w:w="1276"/>
        <w:gridCol w:w="1559"/>
        <w:gridCol w:w="1559"/>
      </w:tblGrid>
      <w:tr w:rsidR="00FF2923" w:rsidRPr="00C76262" w14:paraId="118BE503" w14:textId="77777777">
        <w:tc>
          <w:tcPr>
            <w:tcW w:w="1926" w:type="dxa"/>
            <w:tcBorders>
              <w:top w:val="single" w:sz="8" w:space="0" w:color="auto"/>
              <w:bottom w:val="single" w:sz="4" w:space="0" w:color="auto"/>
            </w:tcBorders>
          </w:tcPr>
          <w:p w14:paraId="5B3E1E64"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Optimizer</w:t>
            </w:r>
          </w:p>
        </w:tc>
        <w:tc>
          <w:tcPr>
            <w:tcW w:w="1193" w:type="dxa"/>
            <w:tcBorders>
              <w:top w:val="single" w:sz="8" w:space="0" w:color="auto"/>
              <w:bottom w:val="single" w:sz="4" w:space="0" w:color="auto"/>
            </w:tcBorders>
          </w:tcPr>
          <w:p w14:paraId="7920CE12"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Epochs</w:t>
            </w:r>
          </w:p>
        </w:tc>
        <w:tc>
          <w:tcPr>
            <w:tcW w:w="1417" w:type="dxa"/>
            <w:tcBorders>
              <w:top w:val="single" w:sz="8" w:space="0" w:color="auto"/>
              <w:bottom w:val="single" w:sz="4" w:space="0" w:color="auto"/>
            </w:tcBorders>
          </w:tcPr>
          <w:p w14:paraId="7A8E9061"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 xml:space="preserve">Learning </w:t>
            </w:r>
            <w:r w:rsidRPr="00C76262">
              <w:rPr>
                <w:rFonts w:ascii="Times New Roman" w:eastAsia="宋体" w:hAnsi="Times New Roman" w:cs="Times New Roman"/>
                <w:b/>
                <w:bCs/>
                <w:sz w:val="18"/>
                <w:szCs w:val="18"/>
                <w:lang w:val="ru-RU" w:eastAsia="zh-CN"/>
              </w:rPr>
              <w:t>r</w:t>
            </w:r>
            <w:r w:rsidRPr="00C76262">
              <w:rPr>
                <w:rFonts w:ascii="Times New Roman" w:eastAsia="宋体" w:hAnsi="Times New Roman" w:cs="Times New Roman"/>
                <w:b/>
                <w:bCs/>
                <w:sz w:val="18"/>
                <w:szCs w:val="18"/>
                <w:lang w:val="ru-RU"/>
              </w:rPr>
              <w:t>ate</w:t>
            </w:r>
          </w:p>
        </w:tc>
        <w:tc>
          <w:tcPr>
            <w:tcW w:w="1418" w:type="dxa"/>
            <w:tcBorders>
              <w:top w:val="single" w:sz="8" w:space="0" w:color="auto"/>
              <w:bottom w:val="single" w:sz="4" w:space="0" w:color="auto"/>
            </w:tcBorders>
          </w:tcPr>
          <w:p w14:paraId="4A45E594"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Accuracy (%)</w:t>
            </w:r>
          </w:p>
        </w:tc>
        <w:tc>
          <w:tcPr>
            <w:tcW w:w="1276" w:type="dxa"/>
            <w:tcBorders>
              <w:top w:val="single" w:sz="8" w:space="0" w:color="auto"/>
              <w:bottom w:val="single" w:sz="4" w:space="0" w:color="auto"/>
            </w:tcBorders>
          </w:tcPr>
          <w:p w14:paraId="768540D8"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Precision (%)</w:t>
            </w:r>
          </w:p>
        </w:tc>
        <w:tc>
          <w:tcPr>
            <w:tcW w:w="1559" w:type="dxa"/>
            <w:tcBorders>
              <w:top w:val="single" w:sz="8" w:space="0" w:color="auto"/>
              <w:bottom w:val="single" w:sz="4" w:space="0" w:color="auto"/>
            </w:tcBorders>
          </w:tcPr>
          <w:p w14:paraId="711595C0"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Recall (%)</w:t>
            </w:r>
          </w:p>
        </w:tc>
        <w:tc>
          <w:tcPr>
            <w:tcW w:w="1559" w:type="dxa"/>
            <w:tcBorders>
              <w:top w:val="single" w:sz="8" w:space="0" w:color="auto"/>
              <w:bottom w:val="single" w:sz="4" w:space="0" w:color="auto"/>
            </w:tcBorders>
          </w:tcPr>
          <w:p w14:paraId="641EED8B"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F1-score (%)</w:t>
            </w:r>
          </w:p>
        </w:tc>
      </w:tr>
      <w:tr w:rsidR="00FF2923" w:rsidRPr="00C76262" w14:paraId="4DBD2973" w14:textId="77777777">
        <w:tc>
          <w:tcPr>
            <w:tcW w:w="1926" w:type="dxa"/>
            <w:vMerge w:val="restart"/>
            <w:tcBorders>
              <w:top w:val="single" w:sz="4" w:space="0" w:color="auto"/>
            </w:tcBorders>
          </w:tcPr>
          <w:p w14:paraId="3EDD4CB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Adamax</w:t>
            </w:r>
          </w:p>
        </w:tc>
        <w:tc>
          <w:tcPr>
            <w:tcW w:w="1193" w:type="dxa"/>
            <w:tcBorders>
              <w:top w:val="single" w:sz="4" w:space="0" w:color="auto"/>
            </w:tcBorders>
          </w:tcPr>
          <w:p w14:paraId="4AD45A1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p>
        </w:tc>
        <w:tc>
          <w:tcPr>
            <w:tcW w:w="1417" w:type="dxa"/>
            <w:tcBorders>
              <w:top w:val="single" w:sz="4" w:space="0" w:color="auto"/>
            </w:tcBorders>
          </w:tcPr>
          <w:p w14:paraId="4F91609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0.001</w:t>
            </w:r>
          </w:p>
        </w:tc>
        <w:tc>
          <w:tcPr>
            <w:tcW w:w="1418" w:type="dxa"/>
            <w:tcBorders>
              <w:top w:val="single" w:sz="4" w:space="0" w:color="auto"/>
            </w:tcBorders>
          </w:tcPr>
          <w:p w14:paraId="1732CC0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95.40</w:t>
            </w:r>
          </w:p>
        </w:tc>
        <w:tc>
          <w:tcPr>
            <w:tcW w:w="1276" w:type="dxa"/>
            <w:tcBorders>
              <w:top w:val="single" w:sz="4" w:space="0" w:color="auto"/>
            </w:tcBorders>
          </w:tcPr>
          <w:p w14:paraId="12CA269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94.30</w:t>
            </w:r>
          </w:p>
        </w:tc>
        <w:tc>
          <w:tcPr>
            <w:tcW w:w="1559" w:type="dxa"/>
            <w:tcBorders>
              <w:top w:val="single" w:sz="4" w:space="0" w:color="auto"/>
            </w:tcBorders>
          </w:tcPr>
          <w:p w14:paraId="70369CC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93.70</w:t>
            </w:r>
          </w:p>
        </w:tc>
        <w:tc>
          <w:tcPr>
            <w:tcW w:w="1559" w:type="dxa"/>
            <w:tcBorders>
              <w:top w:val="single" w:sz="4" w:space="0" w:color="auto"/>
            </w:tcBorders>
          </w:tcPr>
          <w:p w14:paraId="7A2A8F0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94.00</w:t>
            </w:r>
          </w:p>
        </w:tc>
      </w:tr>
      <w:tr w:rsidR="00FF2923" w:rsidRPr="00C76262" w14:paraId="5ABDB091" w14:textId="77777777">
        <w:tc>
          <w:tcPr>
            <w:tcW w:w="1926" w:type="dxa"/>
            <w:vMerge/>
          </w:tcPr>
          <w:p w14:paraId="6CEC0601"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35AF3D6A"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w:t>
            </w:r>
          </w:p>
        </w:tc>
        <w:tc>
          <w:tcPr>
            <w:tcW w:w="1417" w:type="dxa"/>
          </w:tcPr>
          <w:p w14:paraId="1ED3D87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0.001</w:t>
            </w:r>
          </w:p>
        </w:tc>
        <w:tc>
          <w:tcPr>
            <w:tcW w:w="1418" w:type="dxa"/>
          </w:tcPr>
          <w:p w14:paraId="4023EF4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95.90</w:t>
            </w:r>
          </w:p>
        </w:tc>
        <w:tc>
          <w:tcPr>
            <w:tcW w:w="1276" w:type="dxa"/>
          </w:tcPr>
          <w:p w14:paraId="3D9E2F8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94.80</w:t>
            </w:r>
          </w:p>
        </w:tc>
        <w:tc>
          <w:tcPr>
            <w:tcW w:w="1559" w:type="dxa"/>
          </w:tcPr>
          <w:p w14:paraId="78935B7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94.10</w:t>
            </w:r>
          </w:p>
        </w:tc>
        <w:tc>
          <w:tcPr>
            <w:tcW w:w="1559" w:type="dxa"/>
          </w:tcPr>
          <w:p w14:paraId="4828A7E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94.50</w:t>
            </w:r>
          </w:p>
        </w:tc>
      </w:tr>
      <w:tr w:rsidR="00FF2923" w:rsidRPr="00C76262" w14:paraId="775C4C8A" w14:textId="77777777">
        <w:tc>
          <w:tcPr>
            <w:tcW w:w="1926" w:type="dxa"/>
            <w:vMerge/>
          </w:tcPr>
          <w:p w14:paraId="3A2B833E"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3256AFD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c>
          <w:tcPr>
            <w:tcW w:w="1417" w:type="dxa"/>
          </w:tcPr>
          <w:p w14:paraId="42A4046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0.001</w:t>
            </w:r>
          </w:p>
        </w:tc>
        <w:tc>
          <w:tcPr>
            <w:tcW w:w="1418" w:type="dxa"/>
          </w:tcPr>
          <w:p w14:paraId="29489EB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96.20</w:t>
            </w:r>
          </w:p>
        </w:tc>
        <w:tc>
          <w:tcPr>
            <w:tcW w:w="1276" w:type="dxa"/>
          </w:tcPr>
          <w:p w14:paraId="61FE4D3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95.10</w:t>
            </w:r>
          </w:p>
        </w:tc>
        <w:tc>
          <w:tcPr>
            <w:tcW w:w="1559" w:type="dxa"/>
          </w:tcPr>
          <w:p w14:paraId="73E421C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94.50</w:t>
            </w:r>
          </w:p>
        </w:tc>
        <w:tc>
          <w:tcPr>
            <w:tcW w:w="1559" w:type="dxa"/>
          </w:tcPr>
          <w:p w14:paraId="11F1768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94.80</w:t>
            </w:r>
          </w:p>
        </w:tc>
      </w:tr>
      <w:tr w:rsidR="00FF2923" w:rsidRPr="00C76262" w14:paraId="60151BEF" w14:textId="77777777">
        <w:tc>
          <w:tcPr>
            <w:tcW w:w="1926" w:type="dxa"/>
            <w:vMerge w:val="restart"/>
          </w:tcPr>
          <w:p w14:paraId="2AF138E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RMS Prop</w:t>
            </w:r>
          </w:p>
        </w:tc>
        <w:tc>
          <w:tcPr>
            <w:tcW w:w="1193" w:type="dxa"/>
          </w:tcPr>
          <w:p w14:paraId="031FD53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p>
        </w:tc>
        <w:tc>
          <w:tcPr>
            <w:tcW w:w="1417" w:type="dxa"/>
          </w:tcPr>
          <w:p w14:paraId="7742C79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Pr>
          <w:p w14:paraId="57F0B3D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95.80</w:t>
            </w:r>
          </w:p>
        </w:tc>
        <w:tc>
          <w:tcPr>
            <w:tcW w:w="1276" w:type="dxa"/>
          </w:tcPr>
          <w:p w14:paraId="482F4B5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94.90</w:t>
            </w:r>
          </w:p>
        </w:tc>
        <w:tc>
          <w:tcPr>
            <w:tcW w:w="1559" w:type="dxa"/>
          </w:tcPr>
          <w:p w14:paraId="596A307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94.20</w:t>
            </w:r>
          </w:p>
        </w:tc>
        <w:tc>
          <w:tcPr>
            <w:tcW w:w="1559" w:type="dxa"/>
          </w:tcPr>
          <w:p w14:paraId="59D1C8E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94.60</w:t>
            </w:r>
          </w:p>
        </w:tc>
      </w:tr>
      <w:tr w:rsidR="00FF2923" w:rsidRPr="00C76262" w14:paraId="5C0FA5BE" w14:textId="77777777">
        <w:tc>
          <w:tcPr>
            <w:tcW w:w="1926" w:type="dxa"/>
            <w:vMerge/>
          </w:tcPr>
          <w:p w14:paraId="24DD8DBF"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62939DC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w:t>
            </w:r>
          </w:p>
        </w:tc>
        <w:tc>
          <w:tcPr>
            <w:tcW w:w="1417" w:type="dxa"/>
          </w:tcPr>
          <w:p w14:paraId="5418700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Pr>
          <w:p w14:paraId="488F624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96.20</w:t>
            </w:r>
          </w:p>
        </w:tc>
        <w:tc>
          <w:tcPr>
            <w:tcW w:w="1276" w:type="dxa"/>
          </w:tcPr>
          <w:p w14:paraId="3FB97F6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95.20</w:t>
            </w:r>
          </w:p>
        </w:tc>
        <w:tc>
          <w:tcPr>
            <w:tcW w:w="1559" w:type="dxa"/>
          </w:tcPr>
          <w:p w14:paraId="4A587A5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94.50</w:t>
            </w:r>
          </w:p>
        </w:tc>
        <w:tc>
          <w:tcPr>
            <w:tcW w:w="1559" w:type="dxa"/>
          </w:tcPr>
          <w:p w14:paraId="3F59333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94.80</w:t>
            </w:r>
          </w:p>
        </w:tc>
      </w:tr>
      <w:tr w:rsidR="00FF2923" w:rsidRPr="00C76262" w14:paraId="7E0D8B73" w14:textId="77777777">
        <w:tc>
          <w:tcPr>
            <w:tcW w:w="1926" w:type="dxa"/>
            <w:vMerge/>
          </w:tcPr>
          <w:p w14:paraId="5F564A28"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0C67BC1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c>
          <w:tcPr>
            <w:tcW w:w="1417" w:type="dxa"/>
          </w:tcPr>
          <w:p w14:paraId="02A7BD3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Pr>
          <w:p w14:paraId="781287F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96.50</w:t>
            </w:r>
          </w:p>
        </w:tc>
        <w:tc>
          <w:tcPr>
            <w:tcW w:w="1276" w:type="dxa"/>
          </w:tcPr>
          <w:p w14:paraId="79F64C1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95.45</w:t>
            </w:r>
          </w:p>
        </w:tc>
        <w:tc>
          <w:tcPr>
            <w:tcW w:w="1559" w:type="dxa"/>
          </w:tcPr>
          <w:p w14:paraId="78D31FB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94.70</w:t>
            </w:r>
          </w:p>
        </w:tc>
        <w:tc>
          <w:tcPr>
            <w:tcW w:w="1559" w:type="dxa"/>
          </w:tcPr>
          <w:p w14:paraId="5675BE2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95.07</w:t>
            </w:r>
          </w:p>
        </w:tc>
      </w:tr>
      <w:tr w:rsidR="00FF2923" w:rsidRPr="00C76262" w14:paraId="360B5728" w14:textId="77777777">
        <w:tc>
          <w:tcPr>
            <w:tcW w:w="1926" w:type="dxa"/>
            <w:vMerge w:val="restart"/>
          </w:tcPr>
          <w:p w14:paraId="68ABC97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SGD</w:t>
            </w:r>
          </w:p>
        </w:tc>
        <w:tc>
          <w:tcPr>
            <w:tcW w:w="1193" w:type="dxa"/>
          </w:tcPr>
          <w:p w14:paraId="215BC7E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p>
        </w:tc>
        <w:tc>
          <w:tcPr>
            <w:tcW w:w="1417" w:type="dxa"/>
          </w:tcPr>
          <w:p w14:paraId="59107FD8"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0.0006</w:t>
            </w:r>
          </w:p>
        </w:tc>
        <w:tc>
          <w:tcPr>
            <w:tcW w:w="1418" w:type="dxa"/>
          </w:tcPr>
          <w:p w14:paraId="690571A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94.10</w:t>
            </w:r>
          </w:p>
        </w:tc>
        <w:tc>
          <w:tcPr>
            <w:tcW w:w="1276" w:type="dxa"/>
          </w:tcPr>
          <w:p w14:paraId="10E550D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93.10</w:t>
            </w:r>
          </w:p>
        </w:tc>
        <w:tc>
          <w:tcPr>
            <w:tcW w:w="1559" w:type="dxa"/>
          </w:tcPr>
          <w:p w14:paraId="485AD45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92.30</w:t>
            </w:r>
          </w:p>
        </w:tc>
        <w:tc>
          <w:tcPr>
            <w:tcW w:w="1559" w:type="dxa"/>
          </w:tcPr>
          <w:p w14:paraId="5F90189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92.60</w:t>
            </w:r>
          </w:p>
        </w:tc>
      </w:tr>
      <w:tr w:rsidR="00FF2923" w:rsidRPr="00C76262" w14:paraId="5C27D501" w14:textId="77777777">
        <w:tc>
          <w:tcPr>
            <w:tcW w:w="1926" w:type="dxa"/>
            <w:vMerge/>
          </w:tcPr>
          <w:p w14:paraId="6C1B6342"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71BBD0F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w:t>
            </w:r>
          </w:p>
        </w:tc>
        <w:tc>
          <w:tcPr>
            <w:tcW w:w="1417" w:type="dxa"/>
          </w:tcPr>
          <w:p w14:paraId="4D4D570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0.0006</w:t>
            </w:r>
          </w:p>
        </w:tc>
        <w:tc>
          <w:tcPr>
            <w:tcW w:w="1418" w:type="dxa"/>
          </w:tcPr>
          <w:p w14:paraId="2B1138C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94.70</w:t>
            </w:r>
          </w:p>
        </w:tc>
        <w:tc>
          <w:tcPr>
            <w:tcW w:w="1276" w:type="dxa"/>
          </w:tcPr>
          <w:p w14:paraId="4EBD21A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93.50</w:t>
            </w:r>
          </w:p>
        </w:tc>
        <w:tc>
          <w:tcPr>
            <w:tcW w:w="1559" w:type="dxa"/>
          </w:tcPr>
          <w:p w14:paraId="48C2112A"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92.80</w:t>
            </w:r>
          </w:p>
        </w:tc>
        <w:tc>
          <w:tcPr>
            <w:tcW w:w="1559" w:type="dxa"/>
          </w:tcPr>
          <w:p w14:paraId="581942E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93.10</w:t>
            </w:r>
          </w:p>
        </w:tc>
      </w:tr>
      <w:tr w:rsidR="00FF2923" w:rsidRPr="00C76262" w14:paraId="3F28615B" w14:textId="77777777">
        <w:tc>
          <w:tcPr>
            <w:tcW w:w="1926" w:type="dxa"/>
            <w:vMerge/>
          </w:tcPr>
          <w:p w14:paraId="7F237FB2"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0FE6C4E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c>
          <w:tcPr>
            <w:tcW w:w="1417" w:type="dxa"/>
          </w:tcPr>
          <w:p w14:paraId="231D9C4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0.0006</w:t>
            </w:r>
          </w:p>
        </w:tc>
        <w:tc>
          <w:tcPr>
            <w:tcW w:w="1418" w:type="dxa"/>
          </w:tcPr>
          <w:p w14:paraId="4201240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95.10</w:t>
            </w:r>
          </w:p>
        </w:tc>
        <w:tc>
          <w:tcPr>
            <w:tcW w:w="1276" w:type="dxa"/>
          </w:tcPr>
          <w:p w14:paraId="40CF673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94.00</w:t>
            </w:r>
          </w:p>
        </w:tc>
        <w:tc>
          <w:tcPr>
            <w:tcW w:w="1559" w:type="dxa"/>
          </w:tcPr>
          <w:p w14:paraId="6FB7D14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93.20</w:t>
            </w:r>
          </w:p>
        </w:tc>
        <w:tc>
          <w:tcPr>
            <w:tcW w:w="1559" w:type="dxa"/>
          </w:tcPr>
          <w:p w14:paraId="79E41C8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93.60</w:t>
            </w:r>
          </w:p>
        </w:tc>
      </w:tr>
    </w:tbl>
    <w:p w14:paraId="0B2BBDF3" w14:textId="77777777" w:rsidR="00C76262" w:rsidRPr="00C76262" w:rsidRDefault="00C76262" w:rsidP="00C76262">
      <w:pPr>
        <w:adjustRightInd w:val="0"/>
        <w:snapToGrid w:val="0"/>
        <w:spacing w:before="240" w:after="60" w:line="288" w:lineRule="auto"/>
        <w:rPr>
          <w:rFonts w:ascii="Times New Roman" w:eastAsiaTheme="minorEastAsia" w:hAnsi="Times New Roman" w:cs="Times New Roman"/>
          <w:lang w:eastAsia="zh-CN"/>
        </w:rPr>
      </w:pPr>
      <w:r w:rsidRPr="00C76262">
        <w:rPr>
          <w:rFonts w:ascii="Times New Roman" w:eastAsiaTheme="minorEastAsia" w:hAnsi="Times New Roman" w:cs="Times New Roman"/>
          <w:b/>
          <w:bCs/>
          <w:lang w:eastAsia="zh-CN"/>
        </w:rPr>
        <w:lastRenderedPageBreak/>
        <w:t xml:space="preserve">Table </w:t>
      </w:r>
      <w:r w:rsidRPr="00C76262">
        <w:rPr>
          <w:rFonts w:ascii="Times New Roman" w:eastAsiaTheme="minorEastAsia" w:hAnsi="Times New Roman" w:cs="Times New Roman" w:hint="eastAsia"/>
          <w:b/>
          <w:bCs/>
          <w:lang w:eastAsia="zh-CN"/>
        </w:rPr>
        <w:t>6</w:t>
      </w:r>
      <w:r w:rsidRPr="00C76262">
        <w:rPr>
          <w:rFonts w:ascii="Times New Roman" w:eastAsiaTheme="minorEastAsia" w:hAnsi="Times New Roman" w:cs="Times New Roman"/>
          <w:b/>
          <w:bCs/>
          <w:lang w:eastAsia="zh-CN"/>
        </w:rPr>
        <w:t>.</w:t>
      </w:r>
      <w:r w:rsidRPr="00C76262">
        <w:rPr>
          <w:rFonts w:ascii="Times New Roman" w:eastAsiaTheme="minorEastAsia" w:hAnsi="Times New Roman" w:cs="Times New Roman"/>
          <w:lang w:eastAsia="zh-CN"/>
        </w:rPr>
        <w:t xml:space="preserve"> (</w:t>
      </w:r>
      <w:r w:rsidRPr="00C76262">
        <w:rPr>
          <w:rFonts w:ascii="Times New Roman" w:eastAsiaTheme="minorEastAsia" w:hAnsi="Times New Roman" w:cs="Times New Roman"/>
          <w:i/>
          <w:iCs/>
          <w:lang w:eastAsia="zh-CN"/>
        </w:rPr>
        <w:t>Continued</w:t>
      </w:r>
      <w:r w:rsidRPr="00C76262">
        <w:rPr>
          <w:rFonts w:ascii="Times New Roman" w:eastAsiaTheme="minorEastAsia" w:hAnsi="Times New Roman" w:cs="Times New Roman"/>
          <w:lang w:eastAsia="zh-CN"/>
        </w:rPr>
        <w:t>).</w:t>
      </w:r>
    </w:p>
    <w:tbl>
      <w:tblPr>
        <w:tblStyle w:val="af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926"/>
        <w:gridCol w:w="1193"/>
        <w:gridCol w:w="1417"/>
        <w:gridCol w:w="1418"/>
        <w:gridCol w:w="1276"/>
        <w:gridCol w:w="1559"/>
        <w:gridCol w:w="1559"/>
      </w:tblGrid>
      <w:tr w:rsidR="00C76262" w:rsidRPr="00C76262" w14:paraId="77F33727" w14:textId="77777777" w:rsidTr="00C76262">
        <w:tc>
          <w:tcPr>
            <w:tcW w:w="1926" w:type="dxa"/>
            <w:tcBorders>
              <w:top w:val="single" w:sz="8" w:space="0" w:color="auto"/>
              <w:bottom w:val="single" w:sz="4" w:space="0" w:color="auto"/>
            </w:tcBorders>
          </w:tcPr>
          <w:p w14:paraId="2822B73F"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Optimizer</w:t>
            </w:r>
          </w:p>
        </w:tc>
        <w:tc>
          <w:tcPr>
            <w:tcW w:w="1193" w:type="dxa"/>
            <w:tcBorders>
              <w:top w:val="single" w:sz="8" w:space="0" w:color="auto"/>
              <w:bottom w:val="single" w:sz="4" w:space="0" w:color="auto"/>
            </w:tcBorders>
          </w:tcPr>
          <w:p w14:paraId="56DCA68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Epochs</w:t>
            </w:r>
          </w:p>
        </w:tc>
        <w:tc>
          <w:tcPr>
            <w:tcW w:w="1417" w:type="dxa"/>
            <w:tcBorders>
              <w:top w:val="single" w:sz="8" w:space="0" w:color="auto"/>
              <w:bottom w:val="single" w:sz="4" w:space="0" w:color="auto"/>
            </w:tcBorders>
          </w:tcPr>
          <w:p w14:paraId="69EE780A"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 xml:space="preserve">Learning </w:t>
            </w:r>
            <w:r w:rsidRPr="00C76262">
              <w:rPr>
                <w:rFonts w:ascii="Times New Roman" w:eastAsia="宋体" w:hAnsi="Times New Roman" w:cs="Times New Roman"/>
                <w:b/>
                <w:bCs/>
                <w:sz w:val="18"/>
                <w:szCs w:val="18"/>
                <w:lang w:val="ru-RU" w:eastAsia="zh-CN"/>
              </w:rPr>
              <w:t>r</w:t>
            </w:r>
            <w:r w:rsidRPr="00C76262">
              <w:rPr>
                <w:rFonts w:ascii="Times New Roman" w:eastAsia="宋体" w:hAnsi="Times New Roman" w:cs="Times New Roman"/>
                <w:b/>
                <w:bCs/>
                <w:sz w:val="18"/>
                <w:szCs w:val="18"/>
                <w:lang w:val="ru-RU"/>
              </w:rPr>
              <w:t>ate</w:t>
            </w:r>
          </w:p>
        </w:tc>
        <w:tc>
          <w:tcPr>
            <w:tcW w:w="1418" w:type="dxa"/>
            <w:tcBorders>
              <w:top w:val="single" w:sz="8" w:space="0" w:color="auto"/>
              <w:bottom w:val="single" w:sz="4" w:space="0" w:color="auto"/>
            </w:tcBorders>
          </w:tcPr>
          <w:p w14:paraId="7C800B65"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Accuracy (%)</w:t>
            </w:r>
          </w:p>
        </w:tc>
        <w:tc>
          <w:tcPr>
            <w:tcW w:w="1276" w:type="dxa"/>
            <w:tcBorders>
              <w:top w:val="single" w:sz="8" w:space="0" w:color="auto"/>
              <w:bottom w:val="single" w:sz="4" w:space="0" w:color="auto"/>
            </w:tcBorders>
          </w:tcPr>
          <w:p w14:paraId="574213E2"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Precision (%)</w:t>
            </w:r>
          </w:p>
        </w:tc>
        <w:tc>
          <w:tcPr>
            <w:tcW w:w="1559" w:type="dxa"/>
            <w:tcBorders>
              <w:top w:val="single" w:sz="8" w:space="0" w:color="auto"/>
              <w:bottom w:val="single" w:sz="4" w:space="0" w:color="auto"/>
            </w:tcBorders>
          </w:tcPr>
          <w:p w14:paraId="1D01980D"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Recall (%)</w:t>
            </w:r>
          </w:p>
        </w:tc>
        <w:tc>
          <w:tcPr>
            <w:tcW w:w="1559" w:type="dxa"/>
            <w:tcBorders>
              <w:top w:val="single" w:sz="8" w:space="0" w:color="auto"/>
              <w:bottom w:val="single" w:sz="4" w:space="0" w:color="auto"/>
            </w:tcBorders>
          </w:tcPr>
          <w:p w14:paraId="6132E11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F1-score (%)</w:t>
            </w:r>
          </w:p>
        </w:tc>
      </w:tr>
      <w:tr w:rsidR="00C76262" w:rsidRPr="00C76262" w14:paraId="5054705E" w14:textId="77777777" w:rsidTr="00C76262">
        <w:tc>
          <w:tcPr>
            <w:tcW w:w="1926" w:type="dxa"/>
            <w:vMerge w:val="restart"/>
            <w:tcBorders>
              <w:top w:val="single" w:sz="4" w:space="0" w:color="auto"/>
            </w:tcBorders>
          </w:tcPr>
          <w:p w14:paraId="4897CBA7"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Nadam</w:t>
            </w:r>
          </w:p>
        </w:tc>
        <w:tc>
          <w:tcPr>
            <w:tcW w:w="1193" w:type="dxa"/>
            <w:tcBorders>
              <w:top w:val="single" w:sz="4" w:space="0" w:color="auto"/>
            </w:tcBorders>
          </w:tcPr>
          <w:p w14:paraId="026CA282"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p>
        </w:tc>
        <w:tc>
          <w:tcPr>
            <w:tcW w:w="1417" w:type="dxa"/>
            <w:tcBorders>
              <w:top w:val="single" w:sz="4" w:space="0" w:color="auto"/>
            </w:tcBorders>
          </w:tcPr>
          <w:p w14:paraId="1CA30ABA"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Borders>
              <w:top w:val="single" w:sz="4" w:space="0" w:color="auto"/>
            </w:tcBorders>
          </w:tcPr>
          <w:p w14:paraId="35DF4F9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96.30</w:t>
            </w:r>
          </w:p>
        </w:tc>
        <w:tc>
          <w:tcPr>
            <w:tcW w:w="1276" w:type="dxa"/>
            <w:tcBorders>
              <w:top w:val="single" w:sz="4" w:space="0" w:color="auto"/>
            </w:tcBorders>
          </w:tcPr>
          <w:p w14:paraId="52FC8841"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95.50</w:t>
            </w:r>
          </w:p>
        </w:tc>
        <w:tc>
          <w:tcPr>
            <w:tcW w:w="1559" w:type="dxa"/>
            <w:tcBorders>
              <w:top w:val="single" w:sz="4" w:space="0" w:color="auto"/>
            </w:tcBorders>
          </w:tcPr>
          <w:p w14:paraId="3D03F4E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95.10</w:t>
            </w:r>
          </w:p>
        </w:tc>
        <w:tc>
          <w:tcPr>
            <w:tcW w:w="1559" w:type="dxa"/>
            <w:tcBorders>
              <w:top w:val="single" w:sz="4" w:space="0" w:color="auto"/>
            </w:tcBorders>
          </w:tcPr>
          <w:p w14:paraId="5BD6890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95.20</w:t>
            </w:r>
          </w:p>
        </w:tc>
      </w:tr>
      <w:tr w:rsidR="00C76262" w:rsidRPr="00C76262" w14:paraId="3A474F1F" w14:textId="77777777">
        <w:tc>
          <w:tcPr>
            <w:tcW w:w="1926" w:type="dxa"/>
            <w:vMerge/>
          </w:tcPr>
          <w:p w14:paraId="5267AC4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6E48E95F"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w:t>
            </w:r>
          </w:p>
        </w:tc>
        <w:tc>
          <w:tcPr>
            <w:tcW w:w="1417" w:type="dxa"/>
          </w:tcPr>
          <w:p w14:paraId="7E2DC995"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Pr>
          <w:p w14:paraId="3D9B64DF"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96.70</w:t>
            </w:r>
          </w:p>
        </w:tc>
        <w:tc>
          <w:tcPr>
            <w:tcW w:w="1276" w:type="dxa"/>
          </w:tcPr>
          <w:p w14:paraId="0D798FB7"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95.80</w:t>
            </w:r>
          </w:p>
        </w:tc>
        <w:tc>
          <w:tcPr>
            <w:tcW w:w="1559" w:type="dxa"/>
          </w:tcPr>
          <w:p w14:paraId="0B8B04A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95.40</w:t>
            </w:r>
          </w:p>
        </w:tc>
        <w:tc>
          <w:tcPr>
            <w:tcW w:w="1559" w:type="dxa"/>
          </w:tcPr>
          <w:p w14:paraId="6F3E0B60"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95.60</w:t>
            </w:r>
          </w:p>
        </w:tc>
      </w:tr>
      <w:tr w:rsidR="00C76262" w:rsidRPr="00C76262" w14:paraId="56FA51BD" w14:textId="77777777">
        <w:tc>
          <w:tcPr>
            <w:tcW w:w="1926" w:type="dxa"/>
            <w:vMerge/>
          </w:tcPr>
          <w:p w14:paraId="5CB32BC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60A46BF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c>
          <w:tcPr>
            <w:tcW w:w="1417" w:type="dxa"/>
          </w:tcPr>
          <w:p w14:paraId="1ECF5679"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0.0005</w:t>
            </w:r>
          </w:p>
        </w:tc>
        <w:tc>
          <w:tcPr>
            <w:tcW w:w="1418" w:type="dxa"/>
          </w:tcPr>
          <w:p w14:paraId="13353514"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97.00</w:t>
            </w:r>
          </w:p>
        </w:tc>
        <w:tc>
          <w:tcPr>
            <w:tcW w:w="1276" w:type="dxa"/>
          </w:tcPr>
          <w:p w14:paraId="7B4200ED"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96.10</w:t>
            </w:r>
          </w:p>
        </w:tc>
        <w:tc>
          <w:tcPr>
            <w:tcW w:w="1559" w:type="dxa"/>
          </w:tcPr>
          <w:p w14:paraId="2E2A7AEF"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95.80</w:t>
            </w:r>
          </w:p>
        </w:tc>
        <w:tc>
          <w:tcPr>
            <w:tcW w:w="1559" w:type="dxa"/>
          </w:tcPr>
          <w:p w14:paraId="2EBAFFF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95.95</w:t>
            </w:r>
          </w:p>
        </w:tc>
      </w:tr>
      <w:tr w:rsidR="00C76262" w:rsidRPr="00C76262" w14:paraId="4C1B11DF" w14:textId="77777777">
        <w:tc>
          <w:tcPr>
            <w:tcW w:w="1926" w:type="dxa"/>
            <w:vMerge w:val="restart"/>
          </w:tcPr>
          <w:p w14:paraId="5C1EA38A"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Proposed (UAR-Adam)</w:t>
            </w:r>
          </w:p>
        </w:tc>
        <w:tc>
          <w:tcPr>
            <w:tcW w:w="1193" w:type="dxa"/>
          </w:tcPr>
          <w:p w14:paraId="1E74C3D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10</w:t>
            </w:r>
          </w:p>
        </w:tc>
        <w:tc>
          <w:tcPr>
            <w:tcW w:w="1417" w:type="dxa"/>
          </w:tcPr>
          <w:p w14:paraId="0089FFBA"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0.0001</w:t>
            </w:r>
          </w:p>
        </w:tc>
        <w:tc>
          <w:tcPr>
            <w:tcW w:w="1418" w:type="dxa"/>
          </w:tcPr>
          <w:p w14:paraId="49243645"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01</w:t>
            </w:r>
          </w:p>
        </w:tc>
        <w:tc>
          <w:tcPr>
            <w:tcW w:w="1276" w:type="dxa"/>
          </w:tcPr>
          <w:p w14:paraId="0D42DBA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98.10</w:t>
            </w:r>
          </w:p>
        </w:tc>
        <w:tc>
          <w:tcPr>
            <w:tcW w:w="1559" w:type="dxa"/>
          </w:tcPr>
          <w:p w14:paraId="58F1216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97.95</w:t>
            </w:r>
          </w:p>
        </w:tc>
        <w:tc>
          <w:tcPr>
            <w:tcW w:w="1559" w:type="dxa"/>
          </w:tcPr>
          <w:p w14:paraId="359C66A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98.20</w:t>
            </w:r>
          </w:p>
        </w:tc>
      </w:tr>
      <w:tr w:rsidR="00C76262" w:rsidRPr="00C76262" w14:paraId="18B224C3" w14:textId="77777777">
        <w:tc>
          <w:tcPr>
            <w:tcW w:w="1926" w:type="dxa"/>
            <w:vMerge/>
          </w:tcPr>
          <w:p w14:paraId="458985D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47E1075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20</w:t>
            </w:r>
          </w:p>
        </w:tc>
        <w:tc>
          <w:tcPr>
            <w:tcW w:w="1417" w:type="dxa"/>
          </w:tcPr>
          <w:p w14:paraId="1EE353D9"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0.0001</w:t>
            </w:r>
          </w:p>
        </w:tc>
        <w:tc>
          <w:tcPr>
            <w:tcW w:w="1418" w:type="dxa"/>
          </w:tcPr>
          <w:p w14:paraId="12146B00"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08</w:t>
            </w:r>
          </w:p>
        </w:tc>
        <w:tc>
          <w:tcPr>
            <w:tcW w:w="1276" w:type="dxa"/>
          </w:tcPr>
          <w:p w14:paraId="34599732"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2</w:t>
            </w:r>
            <w:r w:rsidRPr="00C76262">
              <w:rPr>
                <w:rFonts w:ascii="Times New Roman" w:eastAsia="宋体" w:hAnsi="Times New Roman" w:cs="Times New Roman"/>
                <w:sz w:val="18"/>
                <w:szCs w:val="18"/>
                <w:lang w:val="ru-RU"/>
              </w:rPr>
              <w:t>0</w:t>
            </w:r>
          </w:p>
        </w:tc>
        <w:tc>
          <w:tcPr>
            <w:tcW w:w="1559" w:type="dxa"/>
          </w:tcPr>
          <w:p w14:paraId="6C0A3BD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0</w:t>
            </w:r>
            <w:r w:rsidRPr="00C76262">
              <w:rPr>
                <w:rFonts w:ascii="Times New Roman" w:eastAsia="宋体" w:hAnsi="Times New Roman" w:cs="Times New Roman"/>
                <w:sz w:val="18"/>
                <w:szCs w:val="18"/>
                <w:lang w:val="ru-RU"/>
              </w:rPr>
              <w:t>5</w:t>
            </w:r>
          </w:p>
        </w:tc>
        <w:tc>
          <w:tcPr>
            <w:tcW w:w="1559" w:type="dxa"/>
          </w:tcPr>
          <w:p w14:paraId="5FA6AFC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0</w:t>
            </w:r>
            <w:r w:rsidRPr="00C76262">
              <w:rPr>
                <w:rFonts w:ascii="Times New Roman" w:eastAsia="宋体" w:hAnsi="Times New Roman" w:cs="Times New Roman"/>
                <w:sz w:val="18"/>
                <w:szCs w:val="18"/>
                <w:lang w:val="ru-RU"/>
              </w:rPr>
              <w:t>5</w:t>
            </w:r>
          </w:p>
        </w:tc>
      </w:tr>
      <w:tr w:rsidR="00C76262" w:rsidRPr="00C76262" w14:paraId="6C7F2FF8" w14:textId="77777777">
        <w:tc>
          <w:tcPr>
            <w:tcW w:w="1926" w:type="dxa"/>
            <w:vMerge/>
          </w:tcPr>
          <w:p w14:paraId="0538FA8D"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p>
        </w:tc>
        <w:tc>
          <w:tcPr>
            <w:tcW w:w="1193" w:type="dxa"/>
          </w:tcPr>
          <w:p w14:paraId="75F09F0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30</w:t>
            </w:r>
          </w:p>
        </w:tc>
        <w:tc>
          <w:tcPr>
            <w:tcW w:w="1417" w:type="dxa"/>
          </w:tcPr>
          <w:p w14:paraId="2B12BFE4"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0.0001</w:t>
            </w:r>
          </w:p>
        </w:tc>
        <w:tc>
          <w:tcPr>
            <w:tcW w:w="1418" w:type="dxa"/>
          </w:tcPr>
          <w:p w14:paraId="0958659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w:t>
            </w:r>
            <w:r w:rsidRPr="00C76262">
              <w:rPr>
                <w:rFonts w:ascii="Times New Roman" w:eastAsia="宋体" w:hAnsi="Times New Roman" w:cs="Times New Roman"/>
                <w:sz w:val="18"/>
                <w:szCs w:val="18"/>
                <w:lang w:val="en-US"/>
              </w:rPr>
              <w:t>8.34</w:t>
            </w:r>
          </w:p>
        </w:tc>
        <w:tc>
          <w:tcPr>
            <w:tcW w:w="1276" w:type="dxa"/>
          </w:tcPr>
          <w:p w14:paraId="1F3D606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50</w:t>
            </w:r>
          </w:p>
        </w:tc>
        <w:tc>
          <w:tcPr>
            <w:tcW w:w="1559" w:type="dxa"/>
          </w:tcPr>
          <w:p w14:paraId="10A89C3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98.</w:t>
            </w:r>
            <w:r w:rsidRPr="00C76262">
              <w:rPr>
                <w:rFonts w:ascii="Times New Roman" w:eastAsia="宋体" w:hAnsi="Times New Roman" w:cs="Times New Roman"/>
                <w:sz w:val="18"/>
                <w:szCs w:val="18"/>
                <w:lang w:val="en-US"/>
              </w:rPr>
              <w:t>18</w:t>
            </w:r>
          </w:p>
        </w:tc>
        <w:tc>
          <w:tcPr>
            <w:tcW w:w="1559" w:type="dxa"/>
          </w:tcPr>
          <w:p w14:paraId="2F7D1444"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en-US"/>
              </w:rPr>
            </w:pPr>
            <w:r w:rsidRPr="00C76262">
              <w:rPr>
                <w:rFonts w:ascii="Times New Roman" w:eastAsia="宋体" w:hAnsi="Times New Roman" w:cs="Times New Roman"/>
                <w:sz w:val="18"/>
                <w:szCs w:val="18"/>
                <w:lang w:val="ru-RU"/>
              </w:rPr>
              <w:t>99.</w:t>
            </w:r>
            <w:r w:rsidRPr="00C76262">
              <w:rPr>
                <w:rFonts w:ascii="Times New Roman" w:eastAsia="宋体" w:hAnsi="Times New Roman" w:cs="Times New Roman"/>
                <w:sz w:val="18"/>
                <w:szCs w:val="18"/>
                <w:lang w:val="en-US"/>
              </w:rPr>
              <w:t>34</w:t>
            </w:r>
          </w:p>
        </w:tc>
      </w:tr>
    </w:tbl>
    <w:p w14:paraId="666030EE"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3.6 Generalization performance of the proposed model with the LC25</w:t>
      </w:r>
      <w:r w:rsidRPr="00C76262">
        <w:rPr>
          <w:rFonts w:ascii="Times New Roman" w:eastAsia="宋体" w:hAnsi="Times New Roman" w:cs="Times New Roman"/>
          <w:b/>
          <w:sz w:val="24"/>
          <w:szCs w:val="24"/>
          <w:lang w:val="ru-RU" w:eastAsia="zh-CN"/>
        </w:rPr>
        <w:t>,</w:t>
      </w:r>
      <w:r w:rsidRPr="00C76262">
        <w:rPr>
          <w:rFonts w:ascii="Times New Roman" w:eastAsia="宋体" w:hAnsi="Times New Roman" w:cs="Times New Roman"/>
          <w:b/>
          <w:sz w:val="24"/>
          <w:szCs w:val="24"/>
          <w:lang w:val="ru-RU"/>
        </w:rPr>
        <w:t xml:space="preserve">000 </w:t>
      </w:r>
      <w:r w:rsidRPr="00C76262">
        <w:rPr>
          <w:rFonts w:ascii="Times New Roman" w:eastAsia="宋体" w:hAnsi="Times New Roman" w:cs="Times New Roman"/>
          <w:b/>
          <w:sz w:val="24"/>
          <w:szCs w:val="24"/>
          <w:lang w:val="ru-RU" w:eastAsia="zh-CN"/>
        </w:rPr>
        <w:t>d</w:t>
      </w:r>
      <w:r w:rsidRPr="00C76262">
        <w:rPr>
          <w:rFonts w:ascii="Times New Roman" w:eastAsia="宋体" w:hAnsi="Times New Roman" w:cs="Times New Roman"/>
          <w:b/>
          <w:sz w:val="24"/>
          <w:szCs w:val="24"/>
          <w:lang w:val="ru-RU"/>
        </w:rPr>
        <w:t>ataset</w:t>
      </w:r>
    </w:p>
    <w:p w14:paraId="134213C6"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7</w:t>
      </w:r>
      <w:r w:rsidRPr="00C76262">
        <w:rPr>
          <w:rFonts w:ascii="Times New Roman" w:eastAsia="宋体" w:hAnsi="Times New Roman" w:cs="Times New Roman"/>
          <w:szCs w:val="24"/>
          <w:lang w:val="en-US"/>
        </w:rPr>
        <w:t xml:space="preserve"> presents the performance of the proposed model across the LC25</w:t>
      </w:r>
      <w:r w:rsidRPr="00C76262">
        <w:rPr>
          <w:rFonts w:ascii="Times New Roman" w:eastAsia="宋体" w:hAnsi="Times New Roman" w:cs="Times New Roman"/>
          <w:szCs w:val="24"/>
          <w:lang w:val="en-US" w:eastAsia="zh-CN"/>
        </w:rPr>
        <w:t>,</w:t>
      </w:r>
      <w:r w:rsidRPr="00C76262">
        <w:rPr>
          <w:rFonts w:ascii="Times New Roman" w:eastAsia="宋体" w:hAnsi="Times New Roman" w:cs="Times New Roman"/>
          <w:szCs w:val="24"/>
          <w:lang w:val="en-US"/>
        </w:rPr>
        <w:t>000 dataset [21]. The dataset includes 25</w:t>
      </w:r>
      <w:r w:rsidRPr="00C76262">
        <w:rPr>
          <w:rFonts w:ascii="Times New Roman" w:eastAsia="宋体" w:hAnsi="Times New Roman" w:cs="Times New Roman"/>
          <w:szCs w:val="24"/>
          <w:lang w:val="en-US" w:eastAsia="zh-CN"/>
        </w:rPr>
        <w:t>,</w:t>
      </w:r>
      <w:r w:rsidRPr="00C76262">
        <w:rPr>
          <w:rFonts w:ascii="Times New Roman" w:eastAsia="宋体" w:hAnsi="Times New Roman" w:cs="Times New Roman"/>
          <w:szCs w:val="24"/>
          <w:lang w:val="en-US"/>
        </w:rPr>
        <w:t>000 histopathological images with five classes. This analyzes the proposed model’s performance on another histopathological lung cancer image dataset. It represents our proposed model is generalized better across another dataset. The validation of our model through the external dataset emphasizes its clinical pathologists’ decision-making.</w:t>
      </w:r>
    </w:p>
    <w:p w14:paraId="68FD4953" w14:textId="77777777" w:rsidR="00FF2923" w:rsidRPr="00C76262" w:rsidRDefault="00000000">
      <w:pPr>
        <w:adjustRightInd w:val="0"/>
        <w:snapToGrid w:val="0"/>
        <w:spacing w:before="240" w:after="0" w:line="288" w:lineRule="auto"/>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7</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Generalization performance of the proposed model</w:t>
      </w:r>
      <w:r w:rsidRPr="00C76262">
        <w:rPr>
          <w:rFonts w:ascii="Times New Roman" w:eastAsia="宋体" w:hAnsi="Times New Roman" w:cs="Times New Roman"/>
          <w:lang w:val="en-US"/>
        </w:rPr>
        <w:t>.</w:t>
      </w:r>
    </w:p>
    <w:tbl>
      <w:tblPr>
        <w:tblStyle w:val="af2"/>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413"/>
        <w:gridCol w:w="2977"/>
        <w:gridCol w:w="1559"/>
        <w:gridCol w:w="1559"/>
        <w:gridCol w:w="1276"/>
        <w:gridCol w:w="1576"/>
      </w:tblGrid>
      <w:tr w:rsidR="00FF2923" w:rsidRPr="00C76262" w14:paraId="6AD47AF0" w14:textId="77777777">
        <w:trPr>
          <w:trHeight w:val="70"/>
          <w:jc w:val="center"/>
        </w:trPr>
        <w:tc>
          <w:tcPr>
            <w:tcW w:w="1413" w:type="dxa"/>
            <w:tcBorders>
              <w:top w:val="single" w:sz="8" w:space="0" w:color="auto"/>
              <w:bottom w:val="single" w:sz="4" w:space="0" w:color="auto"/>
            </w:tcBorders>
          </w:tcPr>
          <w:p w14:paraId="57F2F069"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Dataset split</w:t>
            </w:r>
          </w:p>
        </w:tc>
        <w:tc>
          <w:tcPr>
            <w:tcW w:w="2977" w:type="dxa"/>
            <w:tcBorders>
              <w:top w:val="single" w:sz="8" w:space="0" w:color="auto"/>
              <w:bottom w:val="single" w:sz="4" w:space="0" w:color="auto"/>
            </w:tcBorders>
          </w:tcPr>
          <w:p w14:paraId="1DFDBE45"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Class</w:t>
            </w:r>
          </w:p>
        </w:tc>
        <w:tc>
          <w:tcPr>
            <w:tcW w:w="1559" w:type="dxa"/>
            <w:tcBorders>
              <w:top w:val="single" w:sz="8" w:space="0" w:color="auto"/>
              <w:bottom w:val="single" w:sz="4" w:space="0" w:color="auto"/>
            </w:tcBorders>
          </w:tcPr>
          <w:p w14:paraId="2A79138A"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Accuracy (%)</w:t>
            </w:r>
          </w:p>
        </w:tc>
        <w:tc>
          <w:tcPr>
            <w:tcW w:w="1559" w:type="dxa"/>
            <w:tcBorders>
              <w:top w:val="single" w:sz="8" w:space="0" w:color="auto"/>
              <w:bottom w:val="single" w:sz="4" w:space="0" w:color="auto"/>
            </w:tcBorders>
          </w:tcPr>
          <w:p w14:paraId="01EF7100"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Precision (%)</w:t>
            </w:r>
          </w:p>
        </w:tc>
        <w:tc>
          <w:tcPr>
            <w:tcW w:w="1276" w:type="dxa"/>
            <w:tcBorders>
              <w:top w:val="single" w:sz="8" w:space="0" w:color="auto"/>
              <w:bottom w:val="single" w:sz="4" w:space="0" w:color="auto"/>
            </w:tcBorders>
          </w:tcPr>
          <w:p w14:paraId="59CEB4A3"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Recall (%)</w:t>
            </w:r>
          </w:p>
        </w:tc>
        <w:tc>
          <w:tcPr>
            <w:tcW w:w="1576" w:type="dxa"/>
            <w:tcBorders>
              <w:top w:val="single" w:sz="8" w:space="0" w:color="auto"/>
              <w:bottom w:val="single" w:sz="4" w:space="0" w:color="auto"/>
            </w:tcBorders>
          </w:tcPr>
          <w:p w14:paraId="69F4AE6D"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F1-score (%)</w:t>
            </w:r>
          </w:p>
        </w:tc>
      </w:tr>
      <w:tr w:rsidR="00FF2923" w:rsidRPr="00C76262" w14:paraId="464406CD" w14:textId="77777777">
        <w:trPr>
          <w:trHeight w:val="70"/>
          <w:jc w:val="center"/>
        </w:trPr>
        <w:tc>
          <w:tcPr>
            <w:tcW w:w="1413" w:type="dxa"/>
            <w:vMerge w:val="restart"/>
            <w:tcBorders>
              <w:top w:val="single" w:sz="4" w:space="0" w:color="auto"/>
            </w:tcBorders>
          </w:tcPr>
          <w:p w14:paraId="747D463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Train and Validation</w:t>
            </w:r>
          </w:p>
        </w:tc>
        <w:tc>
          <w:tcPr>
            <w:tcW w:w="2977" w:type="dxa"/>
            <w:tcBorders>
              <w:top w:val="single" w:sz="4" w:space="0" w:color="auto"/>
            </w:tcBorders>
          </w:tcPr>
          <w:p w14:paraId="04FC988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adenocarcinoma</w:t>
            </w:r>
          </w:p>
        </w:tc>
        <w:tc>
          <w:tcPr>
            <w:tcW w:w="1559" w:type="dxa"/>
            <w:tcBorders>
              <w:top w:val="single" w:sz="4" w:space="0" w:color="auto"/>
            </w:tcBorders>
          </w:tcPr>
          <w:p w14:paraId="697380E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98.85</w:t>
            </w:r>
          </w:p>
        </w:tc>
        <w:tc>
          <w:tcPr>
            <w:tcW w:w="1559" w:type="dxa"/>
            <w:tcBorders>
              <w:top w:val="single" w:sz="4" w:space="0" w:color="auto"/>
            </w:tcBorders>
          </w:tcPr>
          <w:p w14:paraId="0F25EBC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98.70</w:t>
            </w:r>
          </w:p>
        </w:tc>
        <w:tc>
          <w:tcPr>
            <w:tcW w:w="1276" w:type="dxa"/>
            <w:tcBorders>
              <w:top w:val="single" w:sz="4" w:space="0" w:color="auto"/>
            </w:tcBorders>
          </w:tcPr>
          <w:p w14:paraId="3CD3D9E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98.60</w:t>
            </w:r>
          </w:p>
        </w:tc>
        <w:tc>
          <w:tcPr>
            <w:tcW w:w="1576" w:type="dxa"/>
            <w:tcBorders>
              <w:top w:val="single" w:sz="4" w:space="0" w:color="auto"/>
            </w:tcBorders>
          </w:tcPr>
          <w:p w14:paraId="265C841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98.65</w:t>
            </w:r>
          </w:p>
        </w:tc>
      </w:tr>
      <w:tr w:rsidR="00FF2923" w:rsidRPr="00C76262" w14:paraId="2F717469" w14:textId="77777777">
        <w:trPr>
          <w:trHeight w:val="70"/>
          <w:jc w:val="center"/>
        </w:trPr>
        <w:tc>
          <w:tcPr>
            <w:tcW w:w="1413" w:type="dxa"/>
            <w:vMerge/>
          </w:tcPr>
          <w:p w14:paraId="3AC5B2E6"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2977" w:type="dxa"/>
          </w:tcPr>
          <w:p w14:paraId="4D6D05E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normal</w:t>
            </w:r>
          </w:p>
        </w:tc>
        <w:tc>
          <w:tcPr>
            <w:tcW w:w="1559" w:type="dxa"/>
          </w:tcPr>
          <w:p w14:paraId="6A87914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98.82</w:t>
            </w:r>
          </w:p>
        </w:tc>
        <w:tc>
          <w:tcPr>
            <w:tcW w:w="1559" w:type="dxa"/>
          </w:tcPr>
          <w:p w14:paraId="6DDC68D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98.60</w:t>
            </w:r>
          </w:p>
        </w:tc>
        <w:tc>
          <w:tcPr>
            <w:tcW w:w="1276" w:type="dxa"/>
          </w:tcPr>
          <w:p w14:paraId="3BAFE8F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98.50</w:t>
            </w:r>
          </w:p>
        </w:tc>
        <w:tc>
          <w:tcPr>
            <w:tcW w:w="1576" w:type="dxa"/>
          </w:tcPr>
          <w:p w14:paraId="6688F6D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98.55</w:t>
            </w:r>
          </w:p>
        </w:tc>
      </w:tr>
      <w:tr w:rsidR="00FF2923" w:rsidRPr="00C76262" w14:paraId="7D507365" w14:textId="77777777">
        <w:trPr>
          <w:trHeight w:val="70"/>
          <w:jc w:val="center"/>
        </w:trPr>
        <w:tc>
          <w:tcPr>
            <w:tcW w:w="1413" w:type="dxa"/>
            <w:vMerge/>
          </w:tcPr>
          <w:p w14:paraId="2E8BBABC"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2977" w:type="dxa"/>
          </w:tcPr>
          <w:p w14:paraId="418788E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squamous cell carcinoma</w:t>
            </w:r>
          </w:p>
        </w:tc>
        <w:tc>
          <w:tcPr>
            <w:tcW w:w="1559" w:type="dxa"/>
          </w:tcPr>
          <w:p w14:paraId="079CC2A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98.88</w:t>
            </w:r>
          </w:p>
        </w:tc>
        <w:tc>
          <w:tcPr>
            <w:tcW w:w="1559" w:type="dxa"/>
          </w:tcPr>
          <w:p w14:paraId="23E3DF8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98.75</w:t>
            </w:r>
          </w:p>
        </w:tc>
        <w:tc>
          <w:tcPr>
            <w:tcW w:w="1276" w:type="dxa"/>
          </w:tcPr>
          <w:p w14:paraId="7803F31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98.70</w:t>
            </w:r>
          </w:p>
        </w:tc>
        <w:tc>
          <w:tcPr>
            <w:tcW w:w="1576" w:type="dxa"/>
          </w:tcPr>
          <w:p w14:paraId="4A92D05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98.72</w:t>
            </w:r>
          </w:p>
        </w:tc>
      </w:tr>
      <w:tr w:rsidR="00FF2923" w:rsidRPr="00C76262" w14:paraId="4B0CCAE4" w14:textId="77777777">
        <w:trPr>
          <w:trHeight w:val="70"/>
          <w:jc w:val="center"/>
        </w:trPr>
        <w:tc>
          <w:tcPr>
            <w:tcW w:w="1413" w:type="dxa"/>
            <w:vMerge/>
          </w:tcPr>
          <w:p w14:paraId="1267F450" w14:textId="77777777" w:rsidR="00FF2923" w:rsidRPr="00C76262" w:rsidRDefault="00FF2923">
            <w:pPr>
              <w:adjustRightInd w:val="0"/>
              <w:snapToGrid w:val="0"/>
              <w:spacing w:after="0" w:line="240" w:lineRule="auto"/>
              <w:rPr>
                <w:rFonts w:ascii="Times New Roman" w:eastAsia="Times New Roman" w:hAnsi="Times New Roman" w:cs="Times New Roman"/>
                <w:sz w:val="18"/>
                <w:szCs w:val="18"/>
              </w:rPr>
            </w:pPr>
          </w:p>
        </w:tc>
        <w:tc>
          <w:tcPr>
            <w:tcW w:w="2977" w:type="dxa"/>
          </w:tcPr>
          <w:p w14:paraId="3914560A"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Average</w:t>
            </w:r>
          </w:p>
        </w:tc>
        <w:tc>
          <w:tcPr>
            <w:tcW w:w="1559" w:type="dxa"/>
          </w:tcPr>
          <w:p w14:paraId="5C35813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98.85</w:t>
            </w:r>
          </w:p>
        </w:tc>
        <w:tc>
          <w:tcPr>
            <w:tcW w:w="1559" w:type="dxa"/>
          </w:tcPr>
          <w:p w14:paraId="0BAB150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98.68</w:t>
            </w:r>
          </w:p>
        </w:tc>
        <w:tc>
          <w:tcPr>
            <w:tcW w:w="1276" w:type="dxa"/>
          </w:tcPr>
          <w:p w14:paraId="3D52F65A"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98.60</w:t>
            </w:r>
          </w:p>
        </w:tc>
        <w:tc>
          <w:tcPr>
            <w:tcW w:w="1576" w:type="dxa"/>
          </w:tcPr>
          <w:p w14:paraId="32C1ACB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98.64</w:t>
            </w:r>
          </w:p>
        </w:tc>
      </w:tr>
      <w:tr w:rsidR="00FF2923" w:rsidRPr="00C76262" w14:paraId="1BA15F8B" w14:textId="77777777">
        <w:trPr>
          <w:trHeight w:val="70"/>
          <w:jc w:val="center"/>
        </w:trPr>
        <w:tc>
          <w:tcPr>
            <w:tcW w:w="1413" w:type="dxa"/>
            <w:vMerge w:val="restart"/>
          </w:tcPr>
          <w:p w14:paraId="44D06CD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Testing</w:t>
            </w:r>
          </w:p>
        </w:tc>
        <w:tc>
          <w:tcPr>
            <w:tcW w:w="2977" w:type="dxa"/>
          </w:tcPr>
          <w:p w14:paraId="0AEB353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adenocarcinoma</w:t>
            </w:r>
          </w:p>
        </w:tc>
        <w:tc>
          <w:tcPr>
            <w:tcW w:w="1559" w:type="dxa"/>
          </w:tcPr>
          <w:p w14:paraId="7C64532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98.65</w:t>
            </w:r>
          </w:p>
        </w:tc>
        <w:tc>
          <w:tcPr>
            <w:tcW w:w="1559" w:type="dxa"/>
          </w:tcPr>
          <w:p w14:paraId="2FD7859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98.40</w:t>
            </w:r>
          </w:p>
        </w:tc>
        <w:tc>
          <w:tcPr>
            <w:tcW w:w="1276" w:type="dxa"/>
          </w:tcPr>
          <w:p w14:paraId="7A2BE9B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98.20</w:t>
            </w:r>
          </w:p>
        </w:tc>
        <w:tc>
          <w:tcPr>
            <w:tcW w:w="1576" w:type="dxa"/>
          </w:tcPr>
          <w:p w14:paraId="01B1C363"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98.30</w:t>
            </w:r>
          </w:p>
        </w:tc>
      </w:tr>
      <w:tr w:rsidR="00FF2923" w:rsidRPr="00C76262" w14:paraId="0A5616E1" w14:textId="77777777">
        <w:trPr>
          <w:trHeight w:val="70"/>
          <w:jc w:val="center"/>
        </w:trPr>
        <w:tc>
          <w:tcPr>
            <w:tcW w:w="1413" w:type="dxa"/>
            <w:vMerge/>
          </w:tcPr>
          <w:p w14:paraId="18DB2248"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2977" w:type="dxa"/>
          </w:tcPr>
          <w:p w14:paraId="29BED2EA"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normal</w:t>
            </w:r>
          </w:p>
        </w:tc>
        <w:tc>
          <w:tcPr>
            <w:tcW w:w="1559" w:type="dxa"/>
          </w:tcPr>
          <w:p w14:paraId="18AE1BA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98.58</w:t>
            </w:r>
          </w:p>
        </w:tc>
        <w:tc>
          <w:tcPr>
            <w:tcW w:w="1559" w:type="dxa"/>
          </w:tcPr>
          <w:p w14:paraId="6A6865F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98.30</w:t>
            </w:r>
          </w:p>
        </w:tc>
        <w:tc>
          <w:tcPr>
            <w:tcW w:w="1276" w:type="dxa"/>
          </w:tcPr>
          <w:p w14:paraId="421C44F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98.10</w:t>
            </w:r>
          </w:p>
        </w:tc>
        <w:tc>
          <w:tcPr>
            <w:tcW w:w="1576" w:type="dxa"/>
          </w:tcPr>
          <w:p w14:paraId="518F87B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98.20</w:t>
            </w:r>
          </w:p>
        </w:tc>
      </w:tr>
      <w:tr w:rsidR="00FF2923" w:rsidRPr="00C76262" w14:paraId="6D5A471C" w14:textId="77777777">
        <w:trPr>
          <w:trHeight w:val="70"/>
          <w:jc w:val="center"/>
        </w:trPr>
        <w:tc>
          <w:tcPr>
            <w:tcW w:w="1413" w:type="dxa"/>
            <w:vMerge/>
          </w:tcPr>
          <w:p w14:paraId="23B86D56" w14:textId="77777777" w:rsidR="00FF2923" w:rsidRPr="00C76262" w:rsidRDefault="00FF2923">
            <w:pPr>
              <w:adjustRightInd w:val="0"/>
              <w:snapToGrid w:val="0"/>
              <w:spacing w:after="0" w:line="240" w:lineRule="auto"/>
              <w:rPr>
                <w:rFonts w:ascii="Times New Roman" w:eastAsia="宋体" w:hAnsi="Times New Roman" w:cs="Times New Roman"/>
                <w:sz w:val="18"/>
                <w:szCs w:val="18"/>
                <w:lang w:val="ru-RU"/>
              </w:rPr>
            </w:pPr>
          </w:p>
        </w:tc>
        <w:tc>
          <w:tcPr>
            <w:tcW w:w="2977" w:type="dxa"/>
          </w:tcPr>
          <w:p w14:paraId="75474D8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Lung squamous cell carcinoma</w:t>
            </w:r>
          </w:p>
        </w:tc>
        <w:tc>
          <w:tcPr>
            <w:tcW w:w="1559" w:type="dxa"/>
          </w:tcPr>
          <w:p w14:paraId="4B76840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98.70</w:t>
            </w:r>
          </w:p>
        </w:tc>
        <w:tc>
          <w:tcPr>
            <w:tcW w:w="1559" w:type="dxa"/>
          </w:tcPr>
          <w:p w14:paraId="1CB47CD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98.50</w:t>
            </w:r>
          </w:p>
        </w:tc>
        <w:tc>
          <w:tcPr>
            <w:tcW w:w="1276" w:type="dxa"/>
          </w:tcPr>
          <w:p w14:paraId="53259AE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98.40</w:t>
            </w:r>
          </w:p>
        </w:tc>
        <w:tc>
          <w:tcPr>
            <w:tcW w:w="1576" w:type="dxa"/>
          </w:tcPr>
          <w:p w14:paraId="64B420C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98.45</w:t>
            </w:r>
          </w:p>
        </w:tc>
      </w:tr>
      <w:tr w:rsidR="00FF2923" w:rsidRPr="00C76262" w14:paraId="4B01F58D" w14:textId="77777777">
        <w:trPr>
          <w:trHeight w:val="70"/>
          <w:jc w:val="center"/>
        </w:trPr>
        <w:tc>
          <w:tcPr>
            <w:tcW w:w="1413" w:type="dxa"/>
            <w:vMerge/>
          </w:tcPr>
          <w:p w14:paraId="3B66EEB0" w14:textId="77777777" w:rsidR="00FF2923" w:rsidRPr="00C76262" w:rsidRDefault="00FF2923">
            <w:pPr>
              <w:adjustRightInd w:val="0"/>
              <w:snapToGrid w:val="0"/>
              <w:spacing w:after="0" w:line="240" w:lineRule="auto"/>
              <w:rPr>
                <w:rFonts w:ascii="Times New Roman" w:eastAsia="Times New Roman" w:hAnsi="Times New Roman" w:cs="Times New Roman"/>
                <w:sz w:val="18"/>
                <w:szCs w:val="18"/>
              </w:rPr>
            </w:pPr>
          </w:p>
        </w:tc>
        <w:tc>
          <w:tcPr>
            <w:tcW w:w="2977" w:type="dxa"/>
          </w:tcPr>
          <w:p w14:paraId="76DFB6F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Average</w:t>
            </w:r>
          </w:p>
        </w:tc>
        <w:tc>
          <w:tcPr>
            <w:tcW w:w="1559" w:type="dxa"/>
          </w:tcPr>
          <w:p w14:paraId="7F7B2A8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98.64</w:t>
            </w:r>
          </w:p>
        </w:tc>
        <w:tc>
          <w:tcPr>
            <w:tcW w:w="1559" w:type="dxa"/>
          </w:tcPr>
          <w:p w14:paraId="331C30C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98.40</w:t>
            </w:r>
          </w:p>
        </w:tc>
        <w:tc>
          <w:tcPr>
            <w:tcW w:w="1276" w:type="dxa"/>
          </w:tcPr>
          <w:p w14:paraId="5B87F5C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98.23</w:t>
            </w:r>
          </w:p>
        </w:tc>
        <w:tc>
          <w:tcPr>
            <w:tcW w:w="1576" w:type="dxa"/>
          </w:tcPr>
          <w:p w14:paraId="09EC583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98.32</w:t>
            </w:r>
          </w:p>
        </w:tc>
      </w:tr>
    </w:tbl>
    <w:p w14:paraId="2535F073"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 xml:space="preserve">3.7. Ablation </w:t>
      </w:r>
      <w:r w:rsidRPr="00C76262">
        <w:rPr>
          <w:rFonts w:ascii="Times New Roman" w:eastAsia="宋体" w:hAnsi="Times New Roman" w:cs="Times New Roman"/>
          <w:b/>
          <w:sz w:val="24"/>
          <w:szCs w:val="24"/>
          <w:lang w:val="ru-RU" w:eastAsia="zh-CN"/>
        </w:rPr>
        <w:t>s</w:t>
      </w:r>
      <w:r w:rsidRPr="00C76262">
        <w:rPr>
          <w:rFonts w:ascii="Times New Roman" w:eastAsia="宋体" w:hAnsi="Times New Roman" w:cs="Times New Roman"/>
          <w:b/>
          <w:sz w:val="24"/>
          <w:szCs w:val="24"/>
          <w:lang w:val="ru-RU"/>
        </w:rPr>
        <w:t>tudy</w:t>
      </w:r>
    </w:p>
    <w:p w14:paraId="21563788"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This section analyzes the improved performance of each module of our proposed hybrid attention-based DL framework and the optimizer performance for lung cancer grading. The baseline ResNet18 model attained a lower grading performance than the proposed hybrid model. The proposed </w:t>
      </w:r>
      <w:proofErr w:type="spellStart"/>
      <w:r w:rsidRPr="00C76262">
        <w:rPr>
          <w:rFonts w:ascii="Times New Roman" w:eastAsia="宋体" w:hAnsi="Times New Roman" w:cs="Times New Roman"/>
          <w:szCs w:val="24"/>
          <w:lang w:val="en-US"/>
        </w:rPr>
        <w:t>ResCBAM-ViTFSG</w:t>
      </w:r>
      <w:proofErr w:type="spellEnd"/>
      <w:r w:rsidRPr="00C76262">
        <w:rPr>
          <w:rFonts w:ascii="Times New Roman" w:eastAsia="宋体" w:hAnsi="Times New Roman" w:cs="Times New Roman"/>
          <w:szCs w:val="24"/>
          <w:lang w:val="en-US"/>
        </w:rPr>
        <w:t xml:space="preserve"> attained a superior performance with an accuracy of 98.34</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precision of 98.50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recall of 98.18</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and a F1-score of 98.34</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 This highlights the importance of the proposed hybrid attention-based DL model in lung cancer grading, as represented in </w:t>
      </w: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8</w:t>
      </w:r>
      <w:r w:rsidRPr="00C76262">
        <w:rPr>
          <w:rFonts w:ascii="Times New Roman" w:eastAsia="宋体" w:hAnsi="Times New Roman" w:cs="Times New Roman"/>
          <w:szCs w:val="24"/>
          <w:lang w:val="en-US"/>
        </w:rPr>
        <w:t>.</w:t>
      </w:r>
    </w:p>
    <w:p w14:paraId="039D2863" w14:textId="77777777" w:rsidR="00FF2923" w:rsidRPr="00C76262" w:rsidRDefault="00000000">
      <w:pPr>
        <w:adjustRightInd w:val="0"/>
        <w:snapToGrid w:val="0"/>
        <w:spacing w:before="240" w:after="0" w:line="288" w:lineRule="auto"/>
        <w:jc w:val="center"/>
        <w:rPr>
          <w:rFonts w:ascii="Times New Roman" w:eastAsia="宋体" w:hAnsi="Times New Roman" w:cs="Times New Roman"/>
          <w:lang w:val="ru-RU" w:eastAsia="zh-CN"/>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8</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Ablation study analysis</w:t>
      </w:r>
      <w:r w:rsidRPr="00C76262">
        <w:rPr>
          <w:rFonts w:ascii="Times New Roman" w:eastAsia="宋体" w:hAnsi="Times New Roman" w:cs="Times New Roman"/>
          <w:lang w:val="ru-RU" w:eastAsia="zh-CN"/>
        </w:rPr>
        <w:t>.</w:t>
      </w:r>
    </w:p>
    <w:tbl>
      <w:tblPr>
        <w:tblStyle w:val="af2"/>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275"/>
        <w:gridCol w:w="1571"/>
        <w:gridCol w:w="1571"/>
        <w:gridCol w:w="1429"/>
        <w:gridCol w:w="1571"/>
      </w:tblGrid>
      <w:tr w:rsidR="00FF2923" w:rsidRPr="00C76262" w14:paraId="32FCBED4" w14:textId="77777777" w:rsidTr="00C76262">
        <w:trPr>
          <w:trHeight w:val="53"/>
          <w:jc w:val="center"/>
        </w:trPr>
        <w:tc>
          <w:tcPr>
            <w:tcW w:w="4275" w:type="dxa"/>
            <w:tcBorders>
              <w:top w:val="single" w:sz="8" w:space="0" w:color="auto"/>
              <w:bottom w:val="single" w:sz="4" w:space="0" w:color="auto"/>
            </w:tcBorders>
          </w:tcPr>
          <w:p w14:paraId="3F23187C"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Model</w:t>
            </w:r>
          </w:p>
        </w:tc>
        <w:tc>
          <w:tcPr>
            <w:tcW w:w="1571" w:type="dxa"/>
            <w:tcBorders>
              <w:top w:val="single" w:sz="8" w:space="0" w:color="auto"/>
              <w:bottom w:val="single" w:sz="4" w:space="0" w:color="auto"/>
            </w:tcBorders>
          </w:tcPr>
          <w:p w14:paraId="406F2191"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Accuracy (%)</w:t>
            </w:r>
          </w:p>
        </w:tc>
        <w:tc>
          <w:tcPr>
            <w:tcW w:w="1571" w:type="dxa"/>
            <w:tcBorders>
              <w:top w:val="single" w:sz="8" w:space="0" w:color="auto"/>
              <w:bottom w:val="single" w:sz="4" w:space="0" w:color="auto"/>
            </w:tcBorders>
          </w:tcPr>
          <w:p w14:paraId="02678D53"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Precision (%)</w:t>
            </w:r>
          </w:p>
        </w:tc>
        <w:tc>
          <w:tcPr>
            <w:tcW w:w="1429" w:type="dxa"/>
            <w:tcBorders>
              <w:top w:val="single" w:sz="8" w:space="0" w:color="auto"/>
              <w:bottom w:val="single" w:sz="4" w:space="0" w:color="auto"/>
            </w:tcBorders>
          </w:tcPr>
          <w:p w14:paraId="59A54DDE"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Recall (%)</w:t>
            </w:r>
          </w:p>
        </w:tc>
        <w:tc>
          <w:tcPr>
            <w:tcW w:w="1571" w:type="dxa"/>
            <w:tcBorders>
              <w:top w:val="single" w:sz="8" w:space="0" w:color="auto"/>
              <w:bottom w:val="single" w:sz="4" w:space="0" w:color="auto"/>
            </w:tcBorders>
          </w:tcPr>
          <w:p w14:paraId="35A917A4" w14:textId="77777777" w:rsidR="00FF2923" w:rsidRPr="00C76262" w:rsidRDefault="00000000">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F1-score (%)</w:t>
            </w:r>
          </w:p>
        </w:tc>
      </w:tr>
      <w:tr w:rsidR="00FF2923" w:rsidRPr="00C76262" w14:paraId="62907713" w14:textId="77777777" w:rsidTr="00C76262">
        <w:trPr>
          <w:trHeight w:val="53"/>
          <w:jc w:val="center"/>
        </w:trPr>
        <w:tc>
          <w:tcPr>
            <w:tcW w:w="4275" w:type="dxa"/>
            <w:tcBorders>
              <w:top w:val="single" w:sz="4" w:space="0" w:color="auto"/>
            </w:tcBorders>
          </w:tcPr>
          <w:p w14:paraId="2531931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p>
        </w:tc>
        <w:tc>
          <w:tcPr>
            <w:tcW w:w="1571" w:type="dxa"/>
            <w:tcBorders>
              <w:top w:val="single" w:sz="4" w:space="0" w:color="auto"/>
            </w:tcBorders>
          </w:tcPr>
          <w:p w14:paraId="79E4F5E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95.60</w:t>
            </w:r>
          </w:p>
        </w:tc>
        <w:tc>
          <w:tcPr>
            <w:tcW w:w="1571" w:type="dxa"/>
            <w:tcBorders>
              <w:top w:val="single" w:sz="4" w:space="0" w:color="auto"/>
            </w:tcBorders>
          </w:tcPr>
          <w:p w14:paraId="5FB9A3B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94.50</w:t>
            </w:r>
          </w:p>
        </w:tc>
        <w:tc>
          <w:tcPr>
            <w:tcW w:w="1429" w:type="dxa"/>
            <w:tcBorders>
              <w:top w:val="single" w:sz="4" w:space="0" w:color="auto"/>
            </w:tcBorders>
          </w:tcPr>
          <w:p w14:paraId="6FCB4BD2"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94.10</w:t>
            </w:r>
          </w:p>
        </w:tc>
        <w:tc>
          <w:tcPr>
            <w:tcW w:w="1571" w:type="dxa"/>
            <w:tcBorders>
              <w:top w:val="single" w:sz="4" w:space="0" w:color="auto"/>
            </w:tcBorders>
          </w:tcPr>
          <w:p w14:paraId="6528A009"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94.30</w:t>
            </w:r>
          </w:p>
        </w:tc>
      </w:tr>
      <w:tr w:rsidR="00FF2923" w:rsidRPr="00C76262" w14:paraId="53E6471F" w14:textId="77777777" w:rsidTr="00C76262">
        <w:trPr>
          <w:trHeight w:val="53"/>
          <w:jc w:val="center"/>
        </w:trPr>
        <w:tc>
          <w:tcPr>
            <w:tcW w:w="4275" w:type="dxa"/>
          </w:tcPr>
          <w:p w14:paraId="5B34ECC4"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CBAM</w:t>
            </w:r>
          </w:p>
        </w:tc>
        <w:tc>
          <w:tcPr>
            <w:tcW w:w="1571" w:type="dxa"/>
          </w:tcPr>
          <w:p w14:paraId="186C0561"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96.80</w:t>
            </w:r>
          </w:p>
        </w:tc>
        <w:tc>
          <w:tcPr>
            <w:tcW w:w="1571" w:type="dxa"/>
          </w:tcPr>
          <w:p w14:paraId="03171C7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95.70</w:t>
            </w:r>
          </w:p>
        </w:tc>
        <w:tc>
          <w:tcPr>
            <w:tcW w:w="1429" w:type="dxa"/>
          </w:tcPr>
          <w:p w14:paraId="28AC3DAD"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95.30</w:t>
            </w:r>
          </w:p>
        </w:tc>
        <w:tc>
          <w:tcPr>
            <w:tcW w:w="1571" w:type="dxa"/>
          </w:tcPr>
          <w:p w14:paraId="72C6E905"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95.50</w:t>
            </w:r>
          </w:p>
        </w:tc>
      </w:tr>
      <w:tr w:rsidR="00FF2923" w:rsidRPr="00C76262" w14:paraId="31A8781B" w14:textId="77777777" w:rsidTr="00C76262">
        <w:trPr>
          <w:trHeight w:val="53"/>
          <w:jc w:val="center"/>
        </w:trPr>
        <w:tc>
          <w:tcPr>
            <w:tcW w:w="4275" w:type="dxa"/>
          </w:tcPr>
          <w:p w14:paraId="44435617"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ViT</w:t>
            </w:r>
          </w:p>
        </w:tc>
        <w:tc>
          <w:tcPr>
            <w:tcW w:w="1571" w:type="dxa"/>
          </w:tcPr>
          <w:p w14:paraId="664A846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97.10</w:t>
            </w:r>
          </w:p>
        </w:tc>
        <w:tc>
          <w:tcPr>
            <w:tcW w:w="1571" w:type="dxa"/>
          </w:tcPr>
          <w:p w14:paraId="53C71BCB"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96.00</w:t>
            </w:r>
          </w:p>
        </w:tc>
        <w:tc>
          <w:tcPr>
            <w:tcW w:w="1429" w:type="dxa"/>
          </w:tcPr>
          <w:p w14:paraId="18821E8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95.60</w:t>
            </w:r>
          </w:p>
        </w:tc>
        <w:tc>
          <w:tcPr>
            <w:tcW w:w="1571" w:type="dxa"/>
          </w:tcPr>
          <w:p w14:paraId="52DADEF6"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95.80</w:t>
            </w:r>
          </w:p>
        </w:tc>
      </w:tr>
      <w:tr w:rsidR="00FF2923" w:rsidRPr="00C76262" w14:paraId="13A1A9F3" w14:textId="77777777" w:rsidTr="00C76262">
        <w:trPr>
          <w:trHeight w:val="53"/>
          <w:jc w:val="center"/>
        </w:trPr>
        <w:tc>
          <w:tcPr>
            <w:tcW w:w="4275" w:type="dxa"/>
          </w:tcPr>
          <w:p w14:paraId="27147D80"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00C76262"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FSG</w:t>
            </w:r>
          </w:p>
        </w:tc>
        <w:tc>
          <w:tcPr>
            <w:tcW w:w="1571" w:type="dxa"/>
          </w:tcPr>
          <w:p w14:paraId="581F5B3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96.90</w:t>
            </w:r>
          </w:p>
        </w:tc>
        <w:tc>
          <w:tcPr>
            <w:tcW w:w="1571" w:type="dxa"/>
          </w:tcPr>
          <w:p w14:paraId="45FBEE6E"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95.90</w:t>
            </w:r>
          </w:p>
        </w:tc>
        <w:tc>
          <w:tcPr>
            <w:tcW w:w="1429" w:type="dxa"/>
          </w:tcPr>
          <w:p w14:paraId="6CF6BF6F"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95.40</w:t>
            </w:r>
          </w:p>
        </w:tc>
        <w:tc>
          <w:tcPr>
            <w:tcW w:w="1571" w:type="dxa"/>
          </w:tcPr>
          <w:p w14:paraId="511AFE7C" w14:textId="77777777" w:rsidR="00FF2923" w:rsidRPr="00C76262" w:rsidRDefault="00000000">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95.60</w:t>
            </w:r>
          </w:p>
        </w:tc>
      </w:tr>
    </w:tbl>
    <w:p w14:paraId="3C018D05" w14:textId="77777777" w:rsidR="00C76262" w:rsidRPr="00C76262" w:rsidRDefault="00C76262" w:rsidP="00C76262">
      <w:pPr>
        <w:adjustRightInd w:val="0"/>
        <w:snapToGrid w:val="0"/>
        <w:spacing w:before="240" w:after="60" w:line="288" w:lineRule="auto"/>
        <w:rPr>
          <w:rFonts w:ascii="Times New Roman" w:eastAsiaTheme="minorEastAsia" w:hAnsi="Times New Roman" w:cs="Times New Roman"/>
          <w:lang w:eastAsia="zh-CN"/>
        </w:rPr>
      </w:pPr>
      <w:r w:rsidRPr="00C76262">
        <w:rPr>
          <w:rFonts w:ascii="Times New Roman" w:eastAsiaTheme="minorEastAsia" w:hAnsi="Times New Roman" w:cs="Times New Roman"/>
          <w:b/>
          <w:bCs/>
          <w:lang w:eastAsia="zh-CN"/>
        </w:rPr>
        <w:lastRenderedPageBreak/>
        <w:t xml:space="preserve">Table </w:t>
      </w:r>
      <w:r w:rsidRPr="00C76262">
        <w:rPr>
          <w:rFonts w:ascii="Times New Roman" w:eastAsiaTheme="minorEastAsia" w:hAnsi="Times New Roman" w:cs="Times New Roman" w:hint="eastAsia"/>
          <w:b/>
          <w:bCs/>
          <w:lang w:eastAsia="zh-CN"/>
        </w:rPr>
        <w:t>8</w:t>
      </w:r>
      <w:r w:rsidRPr="00C76262">
        <w:rPr>
          <w:rFonts w:ascii="Times New Roman" w:eastAsiaTheme="minorEastAsia" w:hAnsi="Times New Roman" w:cs="Times New Roman"/>
          <w:b/>
          <w:bCs/>
          <w:lang w:eastAsia="zh-CN"/>
        </w:rPr>
        <w:t>.</w:t>
      </w:r>
      <w:r w:rsidRPr="00C76262">
        <w:rPr>
          <w:rFonts w:ascii="Times New Roman" w:eastAsiaTheme="minorEastAsia" w:hAnsi="Times New Roman" w:cs="Times New Roman"/>
          <w:lang w:eastAsia="zh-CN"/>
        </w:rPr>
        <w:t xml:space="preserve"> (</w:t>
      </w:r>
      <w:r w:rsidRPr="00C76262">
        <w:rPr>
          <w:rFonts w:ascii="Times New Roman" w:eastAsiaTheme="minorEastAsia" w:hAnsi="Times New Roman" w:cs="Times New Roman"/>
          <w:i/>
          <w:iCs/>
          <w:lang w:eastAsia="zh-CN"/>
        </w:rPr>
        <w:t>Continued</w:t>
      </w:r>
      <w:r w:rsidRPr="00C76262">
        <w:rPr>
          <w:rFonts w:ascii="Times New Roman" w:eastAsiaTheme="minorEastAsia" w:hAnsi="Times New Roman" w:cs="Times New Roman"/>
          <w:lang w:eastAsia="zh-CN"/>
        </w:rPr>
        <w:t>).</w:t>
      </w:r>
    </w:p>
    <w:tbl>
      <w:tblPr>
        <w:tblStyle w:val="af2"/>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375"/>
        <w:gridCol w:w="1558"/>
        <w:gridCol w:w="1558"/>
        <w:gridCol w:w="1418"/>
        <w:gridCol w:w="1558"/>
      </w:tblGrid>
      <w:tr w:rsidR="00C76262" w:rsidRPr="00C76262" w14:paraId="5A957241" w14:textId="77777777" w:rsidTr="00C76262">
        <w:trPr>
          <w:trHeight w:val="53"/>
          <w:jc w:val="center"/>
        </w:trPr>
        <w:tc>
          <w:tcPr>
            <w:tcW w:w="4375" w:type="dxa"/>
            <w:tcBorders>
              <w:top w:val="single" w:sz="8" w:space="0" w:color="auto"/>
              <w:bottom w:val="single" w:sz="4" w:space="0" w:color="auto"/>
            </w:tcBorders>
          </w:tcPr>
          <w:p w14:paraId="228BC612" w14:textId="77777777" w:rsidR="00C76262" w:rsidRPr="00C76262" w:rsidRDefault="00C76262" w:rsidP="00C76262">
            <w:pPr>
              <w:adjustRightInd w:val="0"/>
              <w:snapToGrid w:val="0"/>
              <w:spacing w:after="0" w:line="240" w:lineRule="auto"/>
              <w:rPr>
                <w:rFonts w:ascii="Times New Roman" w:eastAsia="宋体" w:hAnsi="Times New Roman" w:cs="Times New Roman"/>
                <w:b/>
                <w:bCs/>
                <w:sz w:val="18"/>
                <w:szCs w:val="18"/>
                <w:lang w:val="ru-RU"/>
              </w:rPr>
            </w:pPr>
            <w:r w:rsidRPr="00C76262">
              <w:rPr>
                <w:rFonts w:ascii="Times New Roman" w:eastAsia="宋体" w:hAnsi="Times New Roman" w:cs="Times New Roman"/>
                <w:b/>
                <w:bCs/>
                <w:sz w:val="18"/>
                <w:szCs w:val="18"/>
                <w:lang w:val="ru-RU"/>
              </w:rPr>
              <w:t>Model</w:t>
            </w:r>
          </w:p>
        </w:tc>
        <w:tc>
          <w:tcPr>
            <w:tcW w:w="1558" w:type="dxa"/>
            <w:tcBorders>
              <w:top w:val="single" w:sz="8" w:space="0" w:color="auto"/>
              <w:bottom w:val="single" w:sz="4" w:space="0" w:color="auto"/>
            </w:tcBorders>
          </w:tcPr>
          <w:p w14:paraId="673A5E6E"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Accuracy (%)</w:t>
            </w:r>
          </w:p>
        </w:tc>
        <w:tc>
          <w:tcPr>
            <w:tcW w:w="1558" w:type="dxa"/>
            <w:tcBorders>
              <w:top w:val="single" w:sz="8" w:space="0" w:color="auto"/>
              <w:bottom w:val="single" w:sz="4" w:space="0" w:color="auto"/>
            </w:tcBorders>
          </w:tcPr>
          <w:p w14:paraId="45457D2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Precision (%)</w:t>
            </w:r>
          </w:p>
        </w:tc>
        <w:tc>
          <w:tcPr>
            <w:tcW w:w="1418" w:type="dxa"/>
            <w:tcBorders>
              <w:top w:val="single" w:sz="8" w:space="0" w:color="auto"/>
              <w:bottom w:val="single" w:sz="4" w:space="0" w:color="auto"/>
            </w:tcBorders>
          </w:tcPr>
          <w:p w14:paraId="15DEF6D2"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Recall (%)</w:t>
            </w:r>
          </w:p>
        </w:tc>
        <w:tc>
          <w:tcPr>
            <w:tcW w:w="1558" w:type="dxa"/>
            <w:tcBorders>
              <w:top w:val="single" w:sz="8" w:space="0" w:color="auto"/>
              <w:bottom w:val="single" w:sz="4" w:space="0" w:color="auto"/>
            </w:tcBorders>
          </w:tcPr>
          <w:p w14:paraId="25AF8BDD"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b/>
                <w:bCs/>
                <w:sz w:val="18"/>
                <w:szCs w:val="18"/>
                <w:lang w:val="ru-RU"/>
              </w:rPr>
              <w:t>F1-score (%)</w:t>
            </w:r>
          </w:p>
        </w:tc>
      </w:tr>
      <w:tr w:rsidR="00C76262" w:rsidRPr="00C76262" w14:paraId="1890E069" w14:textId="77777777" w:rsidTr="00C76262">
        <w:trPr>
          <w:trHeight w:val="53"/>
          <w:jc w:val="center"/>
        </w:trPr>
        <w:tc>
          <w:tcPr>
            <w:tcW w:w="4375" w:type="dxa"/>
            <w:tcBorders>
              <w:top w:val="single" w:sz="4" w:space="0" w:color="auto"/>
            </w:tcBorders>
          </w:tcPr>
          <w:p w14:paraId="324D00B4"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CBAM</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ViT</w:t>
            </w:r>
          </w:p>
        </w:tc>
        <w:tc>
          <w:tcPr>
            <w:tcW w:w="1558" w:type="dxa"/>
            <w:tcBorders>
              <w:top w:val="single" w:sz="4" w:space="0" w:color="auto"/>
            </w:tcBorders>
          </w:tcPr>
          <w:p w14:paraId="4F20D21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98.20</w:t>
            </w:r>
          </w:p>
        </w:tc>
        <w:tc>
          <w:tcPr>
            <w:tcW w:w="1558" w:type="dxa"/>
            <w:tcBorders>
              <w:top w:val="single" w:sz="4" w:space="0" w:color="auto"/>
            </w:tcBorders>
          </w:tcPr>
          <w:p w14:paraId="3929320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97.10</w:t>
            </w:r>
          </w:p>
        </w:tc>
        <w:tc>
          <w:tcPr>
            <w:tcW w:w="1418" w:type="dxa"/>
            <w:tcBorders>
              <w:top w:val="single" w:sz="4" w:space="0" w:color="auto"/>
            </w:tcBorders>
          </w:tcPr>
          <w:p w14:paraId="7C71C0D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96.80</w:t>
            </w:r>
          </w:p>
        </w:tc>
        <w:tc>
          <w:tcPr>
            <w:tcW w:w="1558" w:type="dxa"/>
            <w:tcBorders>
              <w:top w:val="single" w:sz="4" w:space="0" w:color="auto"/>
            </w:tcBorders>
          </w:tcPr>
          <w:p w14:paraId="32FFC0B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96.95</w:t>
            </w:r>
          </w:p>
        </w:tc>
      </w:tr>
      <w:tr w:rsidR="00C76262" w:rsidRPr="00C76262" w14:paraId="40B57819" w14:textId="77777777" w:rsidTr="00C76262">
        <w:trPr>
          <w:trHeight w:val="53"/>
          <w:jc w:val="center"/>
        </w:trPr>
        <w:tc>
          <w:tcPr>
            <w:tcW w:w="4375" w:type="dxa"/>
          </w:tcPr>
          <w:p w14:paraId="08FDCAE7"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ResNet18</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CBAM</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FSG</w:t>
            </w:r>
          </w:p>
        </w:tc>
        <w:tc>
          <w:tcPr>
            <w:tcW w:w="1558" w:type="dxa"/>
          </w:tcPr>
          <w:p w14:paraId="0B5DC096"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98.50</w:t>
            </w:r>
          </w:p>
        </w:tc>
        <w:tc>
          <w:tcPr>
            <w:tcW w:w="1558" w:type="dxa"/>
          </w:tcPr>
          <w:p w14:paraId="26B1E49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97.30</w:t>
            </w:r>
          </w:p>
        </w:tc>
        <w:tc>
          <w:tcPr>
            <w:tcW w:w="1418" w:type="dxa"/>
          </w:tcPr>
          <w:p w14:paraId="119BC4EF"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97.00</w:t>
            </w:r>
          </w:p>
        </w:tc>
        <w:tc>
          <w:tcPr>
            <w:tcW w:w="1558" w:type="dxa"/>
          </w:tcPr>
          <w:p w14:paraId="1FDEC843"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97.15</w:t>
            </w:r>
          </w:p>
        </w:tc>
      </w:tr>
      <w:tr w:rsidR="00C76262" w:rsidRPr="00C76262" w14:paraId="219FEF7F" w14:textId="77777777" w:rsidTr="00C76262">
        <w:trPr>
          <w:trHeight w:val="53"/>
          <w:jc w:val="center"/>
        </w:trPr>
        <w:tc>
          <w:tcPr>
            <w:tcW w:w="4375" w:type="dxa"/>
          </w:tcPr>
          <w:p w14:paraId="0CCD350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Without UAR</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w:t>
            </w:r>
            <w:r w:rsidRPr="00C76262">
              <w:rPr>
                <w:rFonts w:ascii="Times New Roman" w:eastAsia="宋体" w:hAnsi="Times New Roman" w:cs="Times New Roman" w:hint="eastAsia"/>
                <w:sz w:val="18"/>
                <w:szCs w:val="18"/>
                <w:lang w:val="ru-RU" w:eastAsia="zh-CN"/>
              </w:rPr>
              <w:t xml:space="preserve"> </w:t>
            </w:r>
            <w:r w:rsidRPr="00C76262">
              <w:rPr>
                <w:rFonts w:ascii="Times New Roman" w:eastAsia="宋体" w:hAnsi="Times New Roman" w:cs="Times New Roman"/>
                <w:sz w:val="18"/>
                <w:szCs w:val="18"/>
                <w:lang w:val="ru-RU"/>
              </w:rPr>
              <w:t>Adam optimizer</w:t>
            </w:r>
          </w:p>
        </w:tc>
        <w:tc>
          <w:tcPr>
            <w:tcW w:w="1558" w:type="dxa"/>
          </w:tcPr>
          <w:p w14:paraId="3778B84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96.20</w:t>
            </w:r>
          </w:p>
        </w:tc>
        <w:tc>
          <w:tcPr>
            <w:tcW w:w="1558" w:type="dxa"/>
          </w:tcPr>
          <w:p w14:paraId="2D42F229"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95.80</w:t>
            </w:r>
          </w:p>
        </w:tc>
        <w:tc>
          <w:tcPr>
            <w:tcW w:w="1418" w:type="dxa"/>
          </w:tcPr>
          <w:p w14:paraId="7C50CB5C"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95.12</w:t>
            </w:r>
          </w:p>
        </w:tc>
        <w:tc>
          <w:tcPr>
            <w:tcW w:w="1558" w:type="dxa"/>
          </w:tcPr>
          <w:p w14:paraId="429678AA"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96.43</w:t>
            </w:r>
          </w:p>
        </w:tc>
      </w:tr>
      <w:tr w:rsidR="00C76262" w:rsidRPr="00C76262" w14:paraId="36944217" w14:textId="77777777" w:rsidTr="00C76262">
        <w:trPr>
          <w:trHeight w:val="53"/>
          <w:jc w:val="center"/>
        </w:trPr>
        <w:tc>
          <w:tcPr>
            <w:tcW w:w="4375" w:type="dxa"/>
          </w:tcPr>
          <w:p w14:paraId="0FB39788"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Proposed (ResCBAM-ViTFSG)</w:t>
            </w:r>
          </w:p>
        </w:tc>
        <w:tc>
          <w:tcPr>
            <w:tcW w:w="1558" w:type="dxa"/>
          </w:tcPr>
          <w:p w14:paraId="77C8FF50"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98.34</w:t>
            </w:r>
          </w:p>
        </w:tc>
        <w:tc>
          <w:tcPr>
            <w:tcW w:w="1558" w:type="dxa"/>
          </w:tcPr>
          <w:p w14:paraId="74F7A821"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98.50</w:t>
            </w:r>
          </w:p>
        </w:tc>
        <w:tc>
          <w:tcPr>
            <w:tcW w:w="1418" w:type="dxa"/>
          </w:tcPr>
          <w:p w14:paraId="5BF9F4CB"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98.18</w:t>
            </w:r>
          </w:p>
        </w:tc>
        <w:tc>
          <w:tcPr>
            <w:tcW w:w="1558" w:type="dxa"/>
          </w:tcPr>
          <w:p w14:paraId="1F3104DD" w14:textId="77777777" w:rsidR="00C76262" w:rsidRPr="00C76262" w:rsidRDefault="00C76262" w:rsidP="00C76262">
            <w:pPr>
              <w:adjustRightInd w:val="0"/>
              <w:snapToGrid w:val="0"/>
              <w:spacing w:after="0" w:line="240" w:lineRule="auto"/>
              <w:rPr>
                <w:rFonts w:ascii="Times New Roman" w:eastAsia="宋体" w:hAnsi="Times New Roman" w:cs="Times New Roman"/>
                <w:sz w:val="18"/>
                <w:szCs w:val="18"/>
                <w:lang w:val="ru-RU"/>
              </w:rPr>
            </w:pPr>
            <w:r w:rsidRPr="00C76262">
              <w:rPr>
                <w:rFonts w:ascii="Times New Roman" w:eastAsia="宋体" w:hAnsi="Times New Roman" w:cs="Times New Roman"/>
                <w:sz w:val="18"/>
                <w:szCs w:val="18"/>
                <w:lang w:val="ru-RU"/>
              </w:rPr>
              <w:t>98.34</w:t>
            </w:r>
          </w:p>
        </w:tc>
      </w:tr>
    </w:tbl>
    <w:p w14:paraId="70B841D9" w14:textId="77777777" w:rsidR="00FF2923" w:rsidRPr="00C76262" w:rsidRDefault="00000000">
      <w:pPr>
        <w:adjustRightInd w:val="0"/>
        <w:snapToGrid w:val="0"/>
        <w:spacing w:before="240" w:after="60" w:line="288" w:lineRule="auto"/>
        <w:ind w:left="2948"/>
        <w:outlineLvl w:val="1"/>
        <w:rPr>
          <w:rFonts w:ascii="Times New Roman" w:eastAsia="宋体" w:hAnsi="Times New Roman" w:cs="Times New Roman"/>
          <w:b/>
          <w:sz w:val="24"/>
          <w:szCs w:val="24"/>
          <w:lang w:val="ru-RU"/>
        </w:rPr>
      </w:pPr>
      <w:r w:rsidRPr="00C76262">
        <w:rPr>
          <w:rFonts w:ascii="Times New Roman" w:eastAsia="宋体" w:hAnsi="Times New Roman" w:cs="Times New Roman"/>
          <w:b/>
          <w:sz w:val="24"/>
          <w:szCs w:val="24"/>
          <w:lang w:val="ru-RU"/>
        </w:rPr>
        <w:t>3.8</w:t>
      </w:r>
      <w:r w:rsidRPr="00C76262">
        <w:rPr>
          <w:rFonts w:ascii="Times New Roman" w:eastAsia="宋体" w:hAnsi="Times New Roman" w:cs="Times New Roman"/>
          <w:b/>
          <w:sz w:val="24"/>
          <w:szCs w:val="24"/>
          <w:lang w:val="ru-RU" w:eastAsia="zh-CN"/>
        </w:rPr>
        <w:t>.</w:t>
      </w:r>
      <w:r w:rsidRPr="00C76262">
        <w:rPr>
          <w:rFonts w:ascii="Times New Roman" w:eastAsia="宋体" w:hAnsi="Times New Roman" w:cs="Times New Roman"/>
          <w:b/>
          <w:sz w:val="24"/>
          <w:szCs w:val="24"/>
          <w:lang w:val="ru-RU"/>
        </w:rPr>
        <w:t xml:space="preserve"> Comparison of proposed model with baseline approaches</w:t>
      </w:r>
    </w:p>
    <w:p w14:paraId="67C30556" w14:textId="77777777" w:rsidR="00FF2923" w:rsidRPr="00C76262" w:rsidRDefault="00000000">
      <w:pPr>
        <w:widowControl w:val="0"/>
        <w:adjustRightInd w:val="0"/>
        <w:snapToGrid w:val="0"/>
        <w:spacing w:before="240"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b/>
          <w:bCs/>
          <w:szCs w:val="24"/>
          <w:lang w:val="en-US"/>
        </w:rPr>
        <w:t xml:space="preserve">Table </w:t>
      </w:r>
      <w:r w:rsidRPr="00C76262">
        <w:rPr>
          <w:rFonts w:ascii="Times New Roman" w:eastAsia="宋体" w:hAnsi="Times New Roman" w:cs="Times New Roman"/>
          <w:b/>
          <w:bCs/>
          <w:szCs w:val="24"/>
          <w:lang w:val="en-US" w:eastAsia="zh-CN"/>
        </w:rPr>
        <w:t>9</w:t>
      </w:r>
      <w:r w:rsidRPr="00C76262">
        <w:rPr>
          <w:rFonts w:ascii="Times New Roman" w:eastAsia="宋体" w:hAnsi="Times New Roman" w:cs="Times New Roman"/>
          <w:szCs w:val="24"/>
          <w:lang w:val="en-US"/>
        </w:rPr>
        <w:t xml:space="preserve"> represents a detailed comparison between the proposed hybrid attention-based DL framework and different baseline models for the grading of pulmonary pathology. The proposed hybrid attention-based DL model performs better than all the baseline models, achieving the highest accuracy of 98.34</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precision of 98.50</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recall of 98.55</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specificity of 99.45</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and F1-score of 98.34</w:t>
      </w:r>
      <w:r w:rsidRPr="00C76262">
        <w:rPr>
          <w:rFonts w:ascii="Times New Roman" w:eastAsia="宋体" w:hAnsi="Times New Roman" w:cs="Times New Roman"/>
          <w:szCs w:val="24"/>
          <w:lang w:val="en-US" w:eastAsia="zh-CN"/>
        </w:rPr>
        <w:t xml:space="preserve"> </w:t>
      </w:r>
      <w:r w:rsidRPr="00C76262">
        <w:rPr>
          <w:rFonts w:ascii="Times New Roman" w:eastAsia="宋体" w:hAnsi="Times New Roman" w:cs="Times New Roman"/>
          <w:szCs w:val="24"/>
          <w:lang w:val="en-US"/>
        </w:rPr>
        <w:t xml:space="preserve">%. Remarkably, baseline models ResNet34, </w:t>
      </w:r>
      <w:proofErr w:type="spellStart"/>
      <w:r w:rsidRPr="00C76262">
        <w:rPr>
          <w:rFonts w:ascii="Times New Roman" w:eastAsia="宋体" w:hAnsi="Times New Roman" w:cs="Times New Roman"/>
          <w:szCs w:val="24"/>
          <w:lang w:val="en-US"/>
        </w:rPr>
        <w:t>Xception</w:t>
      </w:r>
      <w:proofErr w:type="spellEnd"/>
      <w:r w:rsidRPr="00C76262">
        <w:rPr>
          <w:rFonts w:ascii="Times New Roman" w:eastAsia="宋体" w:hAnsi="Times New Roman" w:cs="Times New Roman"/>
          <w:szCs w:val="24"/>
          <w:lang w:val="en-US"/>
        </w:rPr>
        <w:t xml:space="preserve">, and InceptionV3 exhibited better performance; they struggle to achieve a balance between specificity. </w:t>
      </w:r>
    </w:p>
    <w:p w14:paraId="3FB09679"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ResNet50 achieved a high specificity showing a tendency to grade pulmonary pathology. Additionally, the lightweight baseline models </w:t>
      </w:r>
      <w:proofErr w:type="spellStart"/>
      <w:r w:rsidRPr="00C76262">
        <w:rPr>
          <w:rFonts w:ascii="Times New Roman" w:eastAsia="宋体" w:hAnsi="Times New Roman" w:cs="Times New Roman"/>
          <w:szCs w:val="24"/>
          <w:lang w:val="en-US"/>
        </w:rPr>
        <w:t>swin</w:t>
      </w:r>
      <w:proofErr w:type="spellEnd"/>
      <w:r w:rsidRPr="00C76262">
        <w:rPr>
          <w:rFonts w:ascii="Times New Roman" w:eastAsia="宋体" w:hAnsi="Times New Roman" w:cs="Times New Roman"/>
          <w:szCs w:val="24"/>
          <w:lang w:val="en-US"/>
        </w:rPr>
        <w:t xml:space="preserve"> transformer, </w:t>
      </w:r>
      <w:proofErr w:type="spellStart"/>
      <w:r w:rsidRPr="00C76262">
        <w:rPr>
          <w:rFonts w:ascii="Times New Roman" w:eastAsia="宋体" w:hAnsi="Times New Roman" w:cs="Times New Roman"/>
          <w:szCs w:val="24"/>
          <w:lang w:val="en-US"/>
        </w:rPr>
        <w:t>ViT</w:t>
      </w:r>
      <w:proofErr w:type="spellEnd"/>
      <w:r w:rsidRPr="00C76262">
        <w:rPr>
          <w:rFonts w:ascii="Times New Roman" w:eastAsia="宋体" w:hAnsi="Times New Roman" w:cs="Times New Roman"/>
          <w:szCs w:val="24"/>
          <w:lang w:val="en-US"/>
        </w:rPr>
        <w:t xml:space="preserve">, and VGG19 performed poorly compared to our proposed model. </w:t>
      </w:r>
      <w:r w:rsidRPr="00C76262">
        <w:rPr>
          <w:rFonts w:ascii="Times New Roman" w:hAnsi="Times New Roman" w:cs="Times New Roman"/>
        </w:rPr>
        <w:t xml:space="preserve">The parameter count analysis demonstrates that the proposed </w:t>
      </w:r>
      <w:proofErr w:type="spellStart"/>
      <w:r w:rsidRPr="00C76262">
        <w:rPr>
          <w:rFonts w:ascii="Times New Roman" w:hAnsi="Times New Roman" w:cs="Times New Roman"/>
        </w:rPr>
        <w:t>ResCBAM</w:t>
      </w:r>
      <w:proofErr w:type="spellEnd"/>
      <w:r w:rsidRPr="00C76262">
        <w:rPr>
          <w:rFonts w:ascii="Times New Roman" w:eastAsiaTheme="minorEastAsia" w:hAnsi="Times New Roman" w:cs="Times New Roman"/>
          <w:lang w:eastAsia="zh-CN"/>
        </w:rPr>
        <w:t xml:space="preserve"> </w:t>
      </w:r>
      <w:r w:rsidRPr="00C76262">
        <w:rPr>
          <w:rFonts w:ascii="Times New Roman" w:hAnsi="Times New Roman" w:cs="Times New Roman"/>
        </w:rPr>
        <w:t>-</w:t>
      </w:r>
      <w:r w:rsidRPr="00C76262">
        <w:rPr>
          <w:rFonts w:ascii="Times New Roman" w:eastAsiaTheme="minorEastAsia" w:hAnsi="Times New Roman" w:cs="Times New Roman"/>
          <w:lang w:eastAsia="zh-CN"/>
        </w:rPr>
        <w:t xml:space="preserve"> </w:t>
      </w:r>
      <w:proofErr w:type="spellStart"/>
      <w:r w:rsidRPr="00C76262">
        <w:rPr>
          <w:rFonts w:ascii="Times New Roman" w:hAnsi="Times New Roman" w:cs="Times New Roman"/>
        </w:rPr>
        <w:t>ViTFSG</w:t>
      </w:r>
      <w:proofErr w:type="spellEnd"/>
      <w:r w:rsidRPr="00C76262">
        <w:rPr>
          <w:rFonts w:ascii="Times New Roman" w:hAnsi="Times New Roman" w:cs="Times New Roman"/>
        </w:rPr>
        <w:t xml:space="preserve"> framework contains a moderately higher number of trainable parameters due to the integration of attention mechanisms and transformer-based global feature extraction, it achieves significantly superior grading performance while maintaining a clinically feasible inference time of 7.8</w:t>
      </w:r>
      <w:r w:rsidRPr="00C76262">
        <w:rPr>
          <w:rFonts w:ascii="Times New Roman" w:eastAsiaTheme="minorEastAsia" w:hAnsi="Times New Roman" w:cs="Times New Roman"/>
          <w:lang w:eastAsia="zh-CN"/>
        </w:rPr>
        <w:t xml:space="preserve"> </w:t>
      </w:r>
      <w:proofErr w:type="spellStart"/>
      <w:r w:rsidRPr="00C76262">
        <w:rPr>
          <w:rFonts w:ascii="Times New Roman" w:hAnsi="Times New Roman" w:cs="Times New Roman"/>
        </w:rPr>
        <w:t>ms</w:t>
      </w:r>
      <w:proofErr w:type="spellEnd"/>
      <w:r w:rsidRPr="00C76262">
        <w:rPr>
          <w:rFonts w:ascii="Times New Roman" w:hAnsi="Times New Roman" w:cs="Times New Roman"/>
        </w:rPr>
        <w:t>. This indicates an effective balance between computational complexity and diagnostic accuracy compared with existing CNN-based architectures.</w:t>
      </w:r>
      <w:r w:rsidRPr="00C76262">
        <w:rPr>
          <w:rFonts w:ascii="Times New Roman" w:eastAsia="宋体" w:hAnsi="Times New Roman" w:cs="Times New Roman"/>
          <w:szCs w:val="24"/>
          <w:lang w:val="en-US"/>
        </w:rPr>
        <w:t xml:space="preserve"> The superior performance of the proposed hybrid attention-based DL framework proves its architectural improvements and supports its suitability for deployment in pulmonary pathology clinical diagnostic systems.</w:t>
      </w:r>
    </w:p>
    <w:p w14:paraId="74897ED0" w14:textId="77777777" w:rsidR="00FF2923" w:rsidRPr="00C76262" w:rsidRDefault="00000000">
      <w:pPr>
        <w:adjustRightInd w:val="0"/>
        <w:snapToGrid w:val="0"/>
        <w:spacing w:before="240" w:after="60" w:line="288" w:lineRule="auto"/>
        <w:jc w:val="center"/>
        <w:rPr>
          <w:rFonts w:ascii="Times New Roman" w:eastAsia="宋体" w:hAnsi="Times New Roman" w:cs="Times New Roman"/>
          <w:lang w:val="en-US"/>
        </w:rPr>
      </w:pPr>
      <w:r w:rsidRPr="00C76262">
        <w:rPr>
          <w:rFonts w:ascii="Times New Roman" w:eastAsia="宋体" w:hAnsi="Times New Roman" w:cs="Times New Roman"/>
          <w:b/>
          <w:bCs/>
          <w:lang w:val="ru-RU"/>
        </w:rPr>
        <w:t xml:space="preserve">Table </w:t>
      </w:r>
      <w:r w:rsidRPr="00C76262">
        <w:rPr>
          <w:rFonts w:ascii="Times New Roman" w:eastAsia="宋体" w:hAnsi="Times New Roman" w:cs="Times New Roman"/>
          <w:b/>
          <w:bCs/>
          <w:lang w:val="ru-RU" w:eastAsia="zh-CN"/>
        </w:rPr>
        <w:t>9</w:t>
      </w:r>
      <w:r w:rsidRPr="00C76262">
        <w:rPr>
          <w:rFonts w:ascii="Times New Roman" w:eastAsia="宋体" w:hAnsi="Times New Roman" w:cs="Times New Roman"/>
          <w:b/>
          <w:bCs/>
          <w:lang w:val="ru-RU"/>
        </w:rPr>
        <w:t>.</w:t>
      </w:r>
      <w:r w:rsidRPr="00C76262">
        <w:rPr>
          <w:rFonts w:ascii="Times New Roman" w:eastAsia="宋体" w:hAnsi="Times New Roman" w:cs="Times New Roman"/>
          <w:lang w:val="ru-RU"/>
        </w:rPr>
        <w:t xml:space="preserve"> Comparison of the proposed model with different baseline models</w:t>
      </w:r>
    </w:p>
    <w:tbl>
      <w:tblPr>
        <w:tblStyle w:val="af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405"/>
        <w:gridCol w:w="1026"/>
        <w:gridCol w:w="1174"/>
        <w:gridCol w:w="1154"/>
        <w:gridCol w:w="924"/>
        <w:gridCol w:w="1194"/>
        <w:gridCol w:w="1096"/>
        <w:gridCol w:w="1494"/>
      </w:tblGrid>
      <w:tr w:rsidR="00FF2923" w:rsidRPr="00C76262" w14:paraId="6A82BE77" w14:textId="77777777">
        <w:tc>
          <w:tcPr>
            <w:tcW w:w="2405" w:type="dxa"/>
            <w:tcBorders>
              <w:top w:val="single" w:sz="8" w:space="0" w:color="auto"/>
              <w:bottom w:val="single" w:sz="4" w:space="0" w:color="auto"/>
            </w:tcBorders>
          </w:tcPr>
          <w:p w14:paraId="59D2F01D"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Model</w:t>
            </w:r>
          </w:p>
        </w:tc>
        <w:tc>
          <w:tcPr>
            <w:tcW w:w="1026" w:type="dxa"/>
            <w:tcBorders>
              <w:top w:val="single" w:sz="8" w:space="0" w:color="auto"/>
              <w:bottom w:val="single" w:sz="4" w:space="0" w:color="auto"/>
            </w:tcBorders>
          </w:tcPr>
          <w:p w14:paraId="0C5280CC"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Params (M)</w:t>
            </w:r>
          </w:p>
        </w:tc>
        <w:tc>
          <w:tcPr>
            <w:tcW w:w="1174" w:type="dxa"/>
            <w:tcBorders>
              <w:top w:val="single" w:sz="8" w:space="0" w:color="auto"/>
              <w:bottom w:val="single" w:sz="4" w:space="0" w:color="auto"/>
            </w:tcBorders>
          </w:tcPr>
          <w:p w14:paraId="5423DA0A"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Accuracy (%)</w:t>
            </w:r>
          </w:p>
        </w:tc>
        <w:tc>
          <w:tcPr>
            <w:tcW w:w="1154" w:type="dxa"/>
            <w:tcBorders>
              <w:top w:val="single" w:sz="8" w:space="0" w:color="auto"/>
              <w:bottom w:val="single" w:sz="4" w:space="0" w:color="auto"/>
            </w:tcBorders>
          </w:tcPr>
          <w:p w14:paraId="7E7099DB"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Precision (%)</w:t>
            </w:r>
          </w:p>
        </w:tc>
        <w:tc>
          <w:tcPr>
            <w:tcW w:w="924" w:type="dxa"/>
            <w:tcBorders>
              <w:top w:val="single" w:sz="8" w:space="0" w:color="auto"/>
              <w:bottom w:val="single" w:sz="4" w:space="0" w:color="auto"/>
            </w:tcBorders>
          </w:tcPr>
          <w:p w14:paraId="40CB59CC"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Recall (%)</w:t>
            </w:r>
          </w:p>
        </w:tc>
        <w:tc>
          <w:tcPr>
            <w:tcW w:w="1194" w:type="dxa"/>
            <w:tcBorders>
              <w:top w:val="single" w:sz="8" w:space="0" w:color="auto"/>
              <w:bottom w:val="single" w:sz="4" w:space="0" w:color="auto"/>
            </w:tcBorders>
          </w:tcPr>
          <w:p w14:paraId="5440CF09"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Specificity (%)</w:t>
            </w:r>
          </w:p>
        </w:tc>
        <w:tc>
          <w:tcPr>
            <w:tcW w:w="1096" w:type="dxa"/>
            <w:tcBorders>
              <w:top w:val="single" w:sz="8" w:space="0" w:color="auto"/>
              <w:bottom w:val="single" w:sz="4" w:space="0" w:color="auto"/>
            </w:tcBorders>
          </w:tcPr>
          <w:p w14:paraId="555363A3"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F1-Score (%)</w:t>
            </w:r>
          </w:p>
        </w:tc>
        <w:tc>
          <w:tcPr>
            <w:tcW w:w="1494" w:type="dxa"/>
            <w:tcBorders>
              <w:top w:val="single" w:sz="8" w:space="0" w:color="auto"/>
              <w:bottom w:val="single" w:sz="4" w:space="0" w:color="auto"/>
            </w:tcBorders>
          </w:tcPr>
          <w:p w14:paraId="7B22361C" w14:textId="77777777" w:rsidR="00FF2923" w:rsidRPr="00C76262" w:rsidRDefault="00000000">
            <w:pPr>
              <w:adjustRightInd w:val="0"/>
              <w:snapToGrid w:val="0"/>
              <w:spacing w:after="0" w:line="240" w:lineRule="auto"/>
              <w:rPr>
                <w:rFonts w:ascii="Times New Roman" w:hAnsi="Times New Roman" w:cs="Times New Roman"/>
                <w:b/>
                <w:bCs/>
                <w:sz w:val="18"/>
                <w:szCs w:val="18"/>
                <w:lang w:val="en-US"/>
              </w:rPr>
            </w:pPr>
            <w:r w:rsidRPr="00C76262">
              <w:rPr>
                <w:rFonts w:ascii="Times New Roman" w:hAnsi="Times New Roman" w:cs="Times New Roman"/>
                <w:b/>
                <w:bCs/>
                <w:sz w:val="18"/>
                <w:szCs w:val="18"/>
                <w:lang w:val="en-US"/>
              </w:rPr>
              <w:t>Inference Time (</w:t>
            </w:r>
            <w:proofErr w:type="spellStart"/>
            <w:r w:rsidRPr="00C76262">
              <w:rPr>
                <w:rFonts w:ascii="Times New Roman" w:hAnsi="Times New Roman" w:cs="Times New Roman"/>
                <w:b/>
                <w:bCs/>
                <w:sz w:val="18"/>
                <w:szCs w:val="18"/>
                <w:lang w:val="en-US"/>
              </w:rPr>
              <w:t>ms</w:t>
            </w:r>
            <w:proofErr w:type="spellEnd"/>
            <w:r w:rsidRPr="00C76262">
              <w:rPr>
                <w:rFonts w:ascii="Times New Roman" w:hAnsi="Times New Roman" w:cs="Times New Roman"/>
                <w:b/>
                <w:bCs/>
                <w:sz w:val="18"/>
                <w:szCs w:val="18"/>
                <w:lang w:val="en-US"/>
              </w:rPr>
              <w:t>)</w:t>
            </w:r>
          </w:p>
        </w:tc>
      </w:tr>
      <w:tr w:rsidR="00FF2923" w:rsidRPr="00C76262" w14:paraId="344FDAE0" w14:textId="77777777">
        <w:tc>
          <w:tcPr>
            <w:tcW w:w="2405" w:type="dxa"/>
            <w:tcBorders>
              <w:top w:val="single" w:sz="4" w:space="0" w:color="auto"/>
            </w:tcBorders>
          </w:tcPr>
          <w:p w14:paraId="34D1C375"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ResNet34</w:t>
            </w:r>
          </w:p>
        </w:tc>
        <w:tc>
          <w:tcPr>
            <w:tcW w:w="1026" w:type="dxa"/>
            <w:tcBorders>
              <w:top w:val="single" w:sz="4" w:space="0" w:color="auto"/>
            </w:tcBorders>
          </w:tcPr>
          <w:p w14:paraId="6E442C61"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21.80</w:t>
            </w:r>
          </w:p>
        </w:tc>
        <w:tc>
          <w:tcPr>
            <w:tcW w:w="1174" w:type="dxa"/>
            <w:tcBorders>
              <w:top w:val="single" w:sz="4" w:space="0" w:color="auto"/>
            </w:tcBorders>
          </w:tcPr>
          <w:p w14:paraId="48676D04"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95.84</w:t>
            </w:r>
          </w:p>
        </w:tc>
        <w:tc>
          <w:tcPr>
            <w:tcW w:w="1154" w:type="dxa"/>
            <w:tcBorders>
              <w:top w:val="single" w:sz="4" w:space="0" w:color="auto"/>
            </w:tcBorders>
          </w:tcPr>
          <w:p w14:paraId="42CDFBF5"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95.91</w:t>
            </w:r>
          </w:p>
        </w:tc>
        <w:tc>
          <w:tcPr>
            <w:tcW w:w="924" w:type="dxa"/>
            <w:tcBorders>
              <w:top w:val="single" w:sz="4" w:space="0" w:color="auto"/>
            </w:tcBorders>
          </w:tcPr>
          <w:p w14:paraId="7347C71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95.72</w:t>
            </w:r>
          </w:p>
        </w:tc>
        <w:tc>
          <w:tcPr>
            <w:tcW w:w="1194" w:type="dxa"/>
            <w:tcBorders>
              <w:top w:val="single" w:sz="4" w:space="0" w:color="auto"/>
            </w:tcBorders>
          </w:tcPr>
          <w:p w14:paraId="23AE6699"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95.79</w:t>
            </w:r>
          </w:p>
        </w:tc>
        <w:tc>
          <w:tcPr>
            <w:tcW w:w="1096" w:type="dxa"/>
            <w:tcBorders>
              <w:top w:val="single" w:sz="4" w:space="0" w:color="auto"/>
            </w:tcBorders>
          </w:tcPr>
          <w:p w14:paraId="74A2C4EF"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95.81</w:t>
            </w:r>
          </w:p>
        </w:tc>
        <w:tc>
          <w:tcPr>
            <w:tcW w:w="1494" w:type="dxa"/>
            <w:tcBorders>
              <w:top w:val="single" w:sz="4" w:space="0" w:color="auto"/>
            </w:tcBorders>
          </w:tcPr>
          <w:p w14:paraId="2369FE5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12.84</w:t>
            </w:r>
          </w:p>
        </w:tc>
      </w:tr>
      <w:tr w:rsidR="00FF2923" w:rsidRPr="00C76262" w14:paraId="25024724" w14:textId="77777777">
        <w:tc>
          <w:tcPr>
            <w:tcW w:w="2405" w:type="dxa"/>
          </w:tcPr>
          <w:p w14:paraId="768C99D7"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proofErr w:type="spellStart"/>
            <w:r w:rsidRPr="00C76262">
              <w:rPr>
                <w:rFonts w:ascii="Times New Roman" w:hAnsi="Times New Roman" w:cs="Times New Roman"/>
                <w:sz w:val="18"/>
                <w:szCs w:val="18"/>
                <w:lang w:val="en-US"/>
              </w:rPr>
              <w:t>Xception</w:t>
            </w:r>
            <w:proofErr w:type="spellEnd"/>
          </w:p>
        </w:tc>
        <w:tc>
          <w:tcPr>
            <w:tcW w:w="1026" w:type="dxa"/>
          </w:tcPr>
          <w:p w14:paraId="0AF6BE7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22.91</w:t>
            </w:r>
          </w:p>
        </w:tc>
        <w:tc>
          <w:tcPr>
            <w:tcW w:w="1174" w:type="dxa"/>
          </w:tcPr>
          <w:p w14:paraId="36F5FB0E"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96.27</w:t>
            </w:r>
          </w:p>
        </w:tc>
        <w:tc>
          <w:tcPr>
            <w:tcW w:w="1154" w:type="dxa"/>
          </w:tcPr>
          <w:p w14:paraId="15AD0C6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96.34</w:t>
            </w:r>
          </w:p>
        </w:tc>
        <w:tc>
          <w:tcPr>
            <w:tcW w:w="924" w:type="dxa"/>
          </w:tcPr>
          <w:p w14:paraId="2AC257E3"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96.18</w:t>
            </w:r>
          </w:p>
        </w:tc>
        <w:tc>
          <w:tcPr>
            <w:tcW w:w="1194" w:type="dxa"/>
          </w:tcPr>
          <w:p w14:paraId="7CB27255"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96.21</w:t>
            </w:r>
          </w:p>
        </w:tc>
        <w:tc>
          <w:tcPr>
            <w:tcW w:w="1096" w:type="dxa"/>
          </w:tcPr>
          <w:p w14:paraId="64D92308"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96.26</w:t>
            </w:r>
          </w:p>
        </w:tc>
        <w:tc>
          <w:tcPr>
            <w:tcW w:w="1494" w:type="dxa"/>
          </w:tcPr>
          <w:p w14:paraId="7921E95B"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14.21</w:t>
            </w:r>
          </w:p>
        </w:tc>
      </w:tr>
      <w:tr w:rsidR="00FF2923" w:rsidRPr="00C76262" w14:paraId="39636A43" w14:textId="77777777">
        <w:tc>
          <w:tcPr>
            <w:tcW w:w="2405" w:type="dxa"/>
          </w:tcPr>
          <w:p w14:paraId="636FE5F3"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InceptionV3</w:t>
            </w:r>
          </w:p>
        </w:tc>
        <w:tc>
          <w:tcPr>
            <w:tcW w:w="1026" w:type="dxa"/>
          </w:tcPr>
          <w:p w14:paraId="56D58C1E"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23.85</w:t>
            </w:r>
          </w:p>
        </w:tc>
        <w:tc>
          <w:tcPr>
            <w:tcW w:w="1174" w:type="dxa"/>
          </w:tcPr>
          <w:p w14:paraId="596D49DE"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95.73</w:t>
            </w:r>
          </w:p>
        </w:tc>
        <w:tc>
          <w:tcPr>
            <w:tcW w:w="1154" w:type="dxa"/>
          </w:tcPr>
          <w:p w14:paraId="50B7A3DD"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95.81</w:t>
            </w:r>
          </w:p>
        </w:tc>
        <w:tc>
          <w:tcPr>
            <w:tcW w:w="924" w:type="dxa"/>
          </w:tcPr>
          <w:p w14:paraId="3016237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95.62</w:t>
            </w:r>
          </w:p>
        </w:tc>
        <w:tc>
          <w:tcPr>
            <w:tcW w:w="1194" w:type="dxa"/>
          </w:tcPr>
          <w:p w14:paraId="5C5A4478"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95.69</w:t>
            </w:r>
          </w:p>
        </w:tc>
        <w:tc>
          <w:tcPr>
            <w:tcW w:w="1096" w:type="dxa"/>
          </w:tcPr>
          <w:p w14:paraId="0E01A60F"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95.71</w:t>
            </w:r>
          </w:p>
        </w:tc>
        <w:tc>
          <w:tcPr>
            <w:tcW w:w="1494" w:type="dxa"/>
          </w:tcPr>
          <w:p w14:paraId="704C4797"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13.76</w:t>
            </w:r>
          </w:p>
        </w:tc>
      </w:tr>
      <w:tr w:rsidR="00FF2923" w:rsidRPr="00C76262" w14:paraId="5B068E2B" w14:textId="77777777">
        <w:tc>
          <w:tcPr>
            <w:tcW w:w="2405" w:type="dxa"/>
          </w:tcPr>
          <w:p w14:paraId="35F0504D"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ResNet50</w:t>
            </w:r>
          </w:p>
        </w:tc>
        <w:tc>
          <w:tcPr>
            <w:tcW w:w="1026" w:type="dxa"/>
          </w:tcPr>
          <w:p w14:paraId="5F456A25"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25.56</w:t>
            </w:r>
          </w:p>
        </w:tc>
        <w:tc>
          <w:tcPr>
            <w:tcW w:w="1174" w:type="dxa"/>
          </w:tcPr>
          <w:p w14:paraId="0505F4E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96.58</w:t>
            </w:r>
          </w:p>
        </w:tc>
        <w:tc>
          <w:tcPr>
            <w:tcW w:w="1154" w:type="dxa"/>
          </w:tcPr>
          <w:p w14:paraId="5091AF4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96.64</w:t>
            </w:r>
          </w:p>
        </w:tc>
        <w:tc>
          <w:tcPr>
            <w:tcW w:w="924" w:type="dxa"/>
          </w:tcPr>
          <w:p w14:paraId="7FFE9481"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96.51</w:t>
            </w:r>
          </w:p>
        </w:tc>
        <w:tc>
          <w:tcPr>
            <w:tcW w:w="1194" w:type="dxa"/>
          </w:tcPr>
          <w:p w14:paraId="649404E8"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96.47</w:t>
            </w:r>
          </w:p>
        </w:tc>
        <w:tc>
          <w:tcPr>
            <w:tcW w:w="1096" w:type="dxa"/>
          </w:tcPr>
          <w:p w14:paraId="1D8D35C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96.57</w:t>
            </w:r>
          </w:p>
        </w:tc>
        <w:tc>
          <w:tcPr>
            <w:tcW w:w="1494" w:type="dxa"/>
          </w:tcPr>
          <w:p w14:paraId="4D55436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15.34</w:t>
            </w:r>
          </w:p>
        </w:tc>
      </w:tr>
      <w:tr w:rsidR="00FF2923" w:rsidRPr="00C76262" w14:paraId="0B9D01DB" w14:textId="77777777">
        <w:tc>
          <w:tcPr>
            <w:tcW w:w="2405" w:type="dxa"/>
          </w:tcPr>
          <w:p w14:paraId="2588EEB9"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 xml:space="preserve">Swin </w:t>
            </w:r>
            <w:r w:rsidRPr="00C76262">
              <w:rPr>
                <w:rFonts w:ascii="Times New Roman" w:eastAsiaTheme="minorEastAsia" w:hAnsi="Times New Roman" w:cs="Times New Roman"/>
                <w:sz w:val="18"/>
                <w:szCs w:val="18"/>
                <w:lang w:val="en-US" w:eastAsia="zh-CN"/>
              </w:rPr>
              <w:t>t</w:t>
            </w:r>
            <w:r w:rsidRPr="00C76262">
              <w:rPr>
                <w:rFonts w:ascii="Times New Roman" w:hAnsi="Times New Roman" w:cs="Times New Roman"/>
                <w:sz w:val="18"/>
                <w:szCs w:val="18"/>
                <w:lang w:val="en-US"/>
              </w:rPr>
              <w:t>ransformer</w:t>
            </w:r>
          </w:p>
        </w:tc>
        <w:tc>
          <w:tcPr>
            <w:tcW w:w="1026" w:type="dxa"/>
          </w:tcPr>
          <w:p w14:paraId="113B06A7"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28.30</w:t>
            </w:r>
          </w:p>
        </w:tc>
        <w:tc>
          <w:tcPr>
            <w:tcW w:w="1174" w:type="dxa"/>
          </w:tcPr>
          <w:p w14:paraId="207AE72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96.42</w:t>
            </w:r>
          </w:p>
        </w:tc>
        <w:tc>
          <w:tcPr>
            <w:tcW w:w="1154" w:type="dxa"/>
          </w:tcPr>
          <w:p w14:paraId="260346C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96.56</w:t>
            </w:r>
          </w:p>
        </w:tc>
        <w:tc>
          <w:tcPr>
            <w:tcW w:w="924" w:type="dxa"/>
          </w:tcPr>
          <w:p w14:paraId="66BFC258"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96.35</w:t>
            </w:r>
          </w:p>
        </w:tc>
        <w:tc>
          <w:tcPr>
            <w:tcW w:w="1194" w:type="dxa"/>
          </w:tcPr>
          <w:p w14:paraId="658F99AF"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96.38</w:t>
            </w:r>
          </w:p>
        </w:tc>
        <w:tc>
          <w:tcPr>
            <w:tcW w:w="1096" w:type="dxa"/>
          </w:tcPr>
          <w:p w14:paraId="5107C81B"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96.41</w:t>
            </w:r>
          </w:p>
        </w:tc>
        <w:tc>
          <w:tcPr>
            <w:tcW w:w="1494" w:type="dxa"/>
          </w:tcPr>
          <w:p w14:paraId="3294A57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16.82</w:t>
            </w:r>
          </w:p>
        </w:tc>
      </w:tr>
      <w:tr w:rsidR="00FF2923" w:rsidRPr="00C76262" w14:paraId="76D65239" w14:textId="77777777">
        <w:tc>
          <w:tcPr>
            <w:tcW w:w="2405" w:type="dxa"/>
          </w:tcPr>
          <w:p w14:paraId="215CDB71"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proofErr w:type="spellStart"/>
            <w:r w:rsidRPr="00C76262">
              <w:rPr>
                <w:rFonts w:ascii="Times New Roman" w:hAnsi="Times New Roman" w:cs="Times New Roman"/>
                <w:sz w:val="18"/>
                <w:szCs w:val="18"/>
                <w:lang w:val="en-US"/>
              </w:rPr>
              <w:t>ViT</w:t>
            </w:r>
            <w:proofErr w:type="spellEnd"/>
          </w:p>
        </w:tc>
        <w:tc>
          <w:tcPr>
            <w:tcW w:w="1026" w:type="dxa"/>
          </w:tcPr>
          <w:p w14:paraId="025B5053"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86.00</w:t>
            </w:r>
          </w:p>
        </w:tc>
        <w:tc>
          <w:tcPr>
            <w:tcW w:w="1174" w:type="dxa"/>
          </w:tcPr>
          <w:p w14:paraId="04254491"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97.11</w:t>
            </w:r>
          </w:p>
        </w:tc>
        <w:tc>
          <w:tcPr>
            <w:tcW w:w="1154" w:type="dxa"/>
          </w:tcPr>
          <w:p w14:paraId="24C41BF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97.18</w:t>
            </w:r>
          </w:p>
        </w:tc>
        <w:tc>
          <w:tcPr>
            <w:tcW w:w="924" w:type="dxa"/>
          </w:tcPr>
          <w:p w14:paraId="12708592"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97.03</w:t>
            </w:r>
          </w:p>
        </w:tc>
        <w:tc>
          <w:tcPr>
            <w:tcW w:w="1194" w:type="dxa"/>
          </w:tcPr>
          <w:p w14:paraId="01C0EFE6"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97.08</w:t>
            </w:r>
          </w:p>
        </w:tc>
        <w:tc>
          <w:tcPr>
            <w:tcW w:w="1096" w:type="dxa"/>
          </w:tcPr>
          <w:p w14:paraId="61BFE8B6"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97.10</w:t>
            </w:r>
          </w:p>
        </w:tc>
        <w:tc>
          <w:tcPr>
            <w:tcW w:w="1494" w:type="dxa"/>
          </w:tcPr>
          <w:p w14:paraId="1A4F7F6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24.53</w:t>
            </w:r>
          </w:p>
        </w:tc>
      </w:tr>
      <w:tr w:rsidR="00FF2923" w:rsidRPr="00C76262" w14:paraId="7096B731" w14:textId="77777777">
        <w:tc>
          <w:tcPr>
            <w:tcW w:w="2405" w:type="dxa"/>
          </w:tcPr>
          <w:p w14:paraId="171D586F"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VGG19</w:t>
            </w:r>
          </w:p>
        </w:tc>
        <w:tc>
          <w:tcPr>
            <w:tcW w:w="1026" w:type="dxa"/>
          </w:tcPr>
          <w:p w14:paraId="5BD65A63"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143.67</w:t>
            </w:r>
          </w:p>
        </w:tc>
        <w:tc>
          <w:tcPr>
            <w:tcW w:w="1174" w:type="dxa"/>
          </w:tcPr>
          <w:p w14:paraId="49566D6B"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94.89</w:t>
            </w:r>
          </w:p>
        </w:tc>
        <w:tc>
          <w:tcPr>
            <w:tcW w:w="1154" w:type="dxa"/>
          </w:tcPr>
          <w:p w14:paraId="13B07977"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95.01</w:t>
            </w:r>
          </w:p>
        </w:tc>
        <w:tc>
          <w:tcPr>
            <w:tcW w:w="924" w:type="dxa"/>
          </w:tcPr>
          <w:p w14:paraId="74308AA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94.72</w:t>
            </w:r>
          </w:p>
        </w:tc>
        <w:tc>
          <w:tcPr>
            <w:tcW w:w="1194" w:type="dxa"/>
          </w:tcPr>
          <w:p w14:paraId="0544A40E"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94.81</w:t>
            </w:r>
          </w:p>
        </w:tc>
        <w:tc>
          <w:tcPr>
            <w:tcW w:w="1096" w:type="dxa"/>
          </w:tcPr>
          <w:p w14:paraId="35567026"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94.86</w:t>
            </w:r>
          </w:p>
        </w:tc>
        <w:tc>
          <w:tcPr>
            <w:tcW w:w="1494" w:type="dxa"/>
          </w:tcPr>
          <w:p w14:paraId="50192B15"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31.68</w:t>
            </w:r>
          </w:p>
        </w:tc>
      </w:tr>
      <w:tr w:rsidR="00FF2923" w:rsidRPr="00C76262" w14:paraId="303E8A28" w14:textId="77777777">
        <w:trPr>
          <w:trHeight w:val="120"/>
        </w:trPr>
        <w:tc>
          <w:tcPr>
            <w:tcW w:w="2405" w:type="dxa"/>
          </w:tcPr>
          <w:p w14:paraId="60FEC896"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Proposed (</w:t>
            </w:r>
            <w:r w:rsidRPr="00C76262">
              <w:rPr>
                <w:rFonts w:ascii="Times New Roman" w:eastAsia="宋体" w:hAnsi="Times New Roman" w:cs="Times New Roman"/>
                <w:sz w:val="18"/>
                <w:szCs w:val="18"/>
                <w:lang w:val="ru-RU"/>
              </w:rPr>
              <w:t>ResCBAM with ViT-FSG</w:t>
            </w:r>
            <w:r w:rsidRPr="00C76262">
              <w:rPr>
                <w:rFonts w:ascii="Times New Roman" w:hAnsi="Times New Roman" w:cs="Times New Roman"/>
                <w:sz w:val="18"/>
                <w:szCs w:val="18"/>
                <w:lang w:val="en-US"/>
              </w:rPr>
              <w:t>)</w:t>
            </w:r>
          </w:p>
        </w:tc>
        <w:tc>
          <w:tcPr>
            <w:tcW w:w="1026" w:type="dxa"/>
          </w:tcPr>
          <w:p w14:paraId="29621103"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12.48</w:t>
            </w:r>
          </w:p>
        </w:tc>
        <w:tc>
          <w:tcPr>
            <w:tcW w:w="1174" w:type="dxa"/>
          </w:tcPr>
          <w:p w14:paraId="323376DC"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98.34</w:t>
            </w:r>
          </w:p>
        </w:tc>
        <w:tc>
          <w:tcPr>
            <w:tcW w:w="1154" w:type="dxa"/>
          </w:tcPr>
          <w:p w14:paraId="7B63966F"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98.50</w:t>
            </w:r>
          </w:p>
        </w:tc>
        <w:tc>
          <w:tcPr>
            <w:tcW w:w="924" w:type="dxa"/>
          </w:tcPr>
          <w:p w14:paraId="368F093A"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98.18</w:t>
            </w:r>
          </w:p>
        </w:tc>
        <w:tc>
          <w:tcPr>
            <w:tcW w:w="1194" w:type="dxa"/>
          </w:tcPr>
          <w:p w14:paraId="2861B4F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98.45</w:t>
            </w:r>
          </w:p>
        </w:tc>
        <w:tc>
          <w:tcPr>
            <w:tcW w:w="1096" w:type="dxa"/>
          </w:tcPr>
          <w:p w14:paraId="47671DE0"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98.34</w:t>
            </w:r>
          </w:p>
        </w:tc>
        <w:tc>
          <w:tcPr>
            <w:tcW w:w="1494" w:type="dxa"/>
          </w:tcPr>
          <w:p w14:paraId="59F1E72D" w14:textId="77777777" w:rsidR="00FF2923" w:rsidRPr="00C76262" w:rsidRDefault="00000000">
            <w:pPr>
              <w:adjustRightInd w:val="0"/>
              <w:snapToGrid w:val="0"/>
              <w:spacing w:after="0" w:line="240" w:lineRule="auto"/>
              <w:rPr>
                <w:rFonts w:ascii="Times New Roman" w:hAnsi="Times New Roman" w:cs="Times New Roman"/>
                <w:sz w:val="18"/>
                <w:szCs w:val="18"/>
                <w:lang w:val="en-US"/>
              </w:rPr>
            </w:pPr>
            <w:r w:rsidRPr="00C76262">
              <w:rPr>
                <w:rFonts w:ascii="Times New Roman" w:hAnsi="Times New Roman" w:cs="Times New Roman"/>
                <w:sz w:val="18"/>
                <w:szCs w:val="18"/>
                <w:lang w:val="en-US"/>
              </w:rPr>
              <w:t>7.8</w:t>
            </w:r>
          </w:p>
        </w:tc>
      </w:tr>
    </w:tbl>
    <w:p w14:paraId="6A46EE14" w14:textId="77777777" w:rsidR="00FF2923" w:rsidRPr="00C76262"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cs="Times New Roman"/>
          <w:b/>
          <w:sz w:val="26"/>
          <w:szCs w:val="26"/>
          <w:lang w:val="en-US"/>
        </w:rPr>
      </w:pPr>
      <w:r w:rsidRPr="00C76262">
        <w:rPr>
          <w:rFonts w:ascii="Times New Roman" w:eastAsia="Calibri" w:hAnsi="Times New Roman" w:cs="Times New Roman"/>
          <w:b/>
          <w:sz w:val="26"/>
          <w:szCs w:val="26"/>
          <w:lang w:val="en-US"/>
        </w:rPr>
        <w:t>4. Conclusion</w:t>
      </w:r>
    </w:p>
    <w:p w14:paraId="3E287565" w14:textId="77777777" w:rsidR="00FF2923" w:rsidRPr="00C76262" w:rsidRDefault="00000000">
      <w:pPr>
        <w:widowControl w:val="0"/>
        <w:adjustRightInd w:val="0"/>
        <w:snapToGrid w:val="0"/>
        <w:spacing w:after="0" w:line="288" w:lineRule="auto"/>
        <w:ind w:left="2948" w:firstLine="442"/>
        <w:jc w:val="both"/>
        <w:rPr>
          <w:rFonts w:ascii="Times New Roman" w:eastAsia="宋体" w:hAnsi="Times New Roman" w:cs="Times New Roman"/>
          <w:szCs w:val="24"/>
          <w:lang w:val="en-US"/>
        </w:rPr>
      </w:pPr>
      <w:r w:rsidRPr="00C76262">
        <w:rPr>
          <w:rFonts w:ascii="Times New Roman" w:eastAsia="宋体" w:hAnsi="Times New Roman" w:cs="Times New Roman"/>
          <w:szCs w:val="24"/>
          <w:lang w:val="en-US"/>
        </w:rPr>
        <w:t xml:space="preserve">This study successfully developed a hybrid attention-based DL framework for lung cancer tumor grading. </w:t>
      </w:r>
      <w:r w:rsidRPr="00C76262">
        <w:rPr>
          <w:rFonts w:ascii="Times New Roman" w:hAnsi="Times New Roman" w:cs="Times New Roman"/>
        </w:rPr>
        <w:t xml:space="preserve">The proposed </w:t>
      </w:r>
      <w:proofErr w:type="spellStart"/>
      <w:r w:rsidRPr="00C76262">
        <w:rPr>
          <w:rFonts w:ascii="Times New Roman" w:hAnsi="Times New Roman" w:cs="Times New Roman"/>
        </w:rPr>
        <w:t>ResCBAM-ViTFSG</w:t>
      </w:r>
      <w:proofErr w:type="spellEnd"/>
      <w:r w:rsidRPr="00C76262">
        <w:rPr>
          <w:rFonts w:ascii="Times New Roman" w:hAnsi="Times New Roman" w:cs="Times New Roman"/>
        </w:rPr>
        <w:t xml:space="preserve"> framework </w:t>
      </w:r>
      <w:r w:rsidRPr="00C76262">
        <w:rPr>
          <w:rFonts w:ascii="Times New Roman" w:hAnsi="Times New Roman" w:cs="Times New Roman"/>
        </w:rPr>
        <w:lastRenderedPageBreak/>
        <w:t xml:space="preserve">demonstrates strong potential as an intelligent decision-support system for pulmonary pathology by enabling reliable and fine-grained lung cancer grading from histopathological images. </w:t>
      </w:r>
      <w:r w:rsidRPr="00C76262">
        <w:rPr>
          <w:rFonts w:ascii="Times New Roman" w:eastAsia="宋体" w:hAnsi="Times New Roman" w:cs="Times New Roman"/>
          <w:szCs w:val="24"/>
          <w:lang w:val="en-US"/>
        </w:rPr>
        <w:t xml:space="preserve">The </w:t>
      </w:r>
      <w:proofErr w:type="spellStart"/>
      <w:r w:rsidRPr="00C76262">
        <w:rPr>
          <w:rFonts w:ascii="Times New Roman" w:eastAsia="宋体" w:hAnsi="Times New Roman" w:cs="Times New Roman"/>
          <w:szCs w:val="24"/>
          <w:lang w:val="en-US"/>
        </w:rPr>
        <w:t>ResCBAM-ViTFSG</w:t>
      </w:r>
      <w:proofErr w:type="spellEnd"/>
      <w:r w:rsidRPr="00C76262">
        <w:rPr>
          <w:rFonts w:ascii="Times New Roman" w:eastAsia="宋体" w:hAnsi="Times New Roman" w:cs="Times New Roman"/>
          <w:szCs w:val="24"/>
          <w:lang w:val="en-US"/>
        </w:rPr>
        <w:t xml:space="preserve"> framework integrated ResNet18 with the CBAM for enhanced extraction of local spatial features, allowing the model to capture fine cellular-level details critical for differentiating tumor grades. </w:t>
      </w:r>
      <w:r w:rsidRPr="00C76262">
        <w:rPr>
          <w:rFonts w:ascii="Times New Roman" w:hAnsi="Times New Roman" w:cs="Times New Roman"/>
        </w:rPr>
        <w:t>The proposed system to effectively capture clinically relevant tumo</w:t>
      </w:r>
      <w:r w:rsidRPr="00C76262">
        <w:rPr>
          <w:rFonts w:ascii="Times New Roman" w:eastAsiaTheme="minorEastAsia" w:hAnsi="Times New Roman" w:cs="Times New Roman"/>
          <w:lang w:eastAsia="zh-CN"/>
        </w:rPr>
        <w:t>u</w:t>
      </w:r>
      <w:r w:rsidRPr="00C76262">
        <w:rPr>
          <w:rFonts w:ascii="Times New Roman" w:hAnsi="Times New Roman" w:cs="Times New Roman"/>
        </w:rPr>
        <w:t xml:space="preserve">r characteristics highlights its potential for supporting early diagnosis, improving grading consistency, and facilitating personalized treatment planning in pulmonary oncology. </w:t>
      </w:r>
      <w:r w:rsidRPr="00C76262">
        <w:rPr>
          <w:rFonts w:ascii="Times New Roman" w:eastAsia="宋体" w:hAnsi="Times New Roman" w:cs="Times New Roman"/>
          <w:szCs w:val="24"/>
          <w:lang w:val="en-US"/>
        </w:rPr>
        <w:t>The proposed framework resulted in a balanced and discriminative feature representation that enhanced robustness across adenocarcinoma, squamous cell carcinoma, and normal tissue, while capturing clinically relevant grading levels (grades 1, 2, and 3). This ensures the proposed hybrid attention-based DL framework is a robust, interpretable, and computationally effective solution for fine-grained lung cancer grading, paving the way for deployment in pulmonary pathology diagnostic systems.</w:t>
      </w:r>
    </w:p>
    <w:p w14:paraId="312C6E65" w14:textId="77777777" w:rsidR="00FF2923" w:rsidRPr="00C76262" w:rsidRDefault="00000000">
      <w:pPr>
        <w:widowControl w:val="0"/>
        <w:adjustRightInd w:val="0"/>
        <w:snapToGrid w:val="0"/>
        <w:spacing w:after="0" w:line="288" w:lineRule="auto"/>
        <w:ind w:left="2948" w:firstLine="442"/>
        <w:jc w:val="both"/>
        <w:rPr>
          <w:rFonts w:ascii="Times New Roman" w:hAnsi="Times New Roman" w:cs="Times New Roman"/>
        </w:rPr>
      </w:pPr>
      <w:r w:rsidRPr="00C76262">
        <w:rPr>
          <w:rFonts w:ascii="Times New Roman" w:hAnsi="Times New Roman" w:cs="Times New Roman"/>
        </w:rPr>
        <w:t xml:space="preserve">Despite the promising grading performance achieved by the proposed </w:t>
      </w:r>
      <w:proofErr w:type="spellStart"/>
      <w:r w:rsidRPr="00C76262">
        <w:rPr>
          <w:rFonts w:ascii="Times New Roman" w:hAnsi="Times New Roman" w:cs="Times New Roman"/>
        </w:rPr>
        <w:t>ResCBAM</w:t>
      </w:r>
      <w:proofErr w:type="spellEnd"/>
      <w:r w:rsidRPr="00C76262">
        <w:rPr>
          <w:rFonts w:ascii="Times New Roman" w:eastAsiaTheme="minorEastAsia" w:hAnsi="Times New Roman" w:cs="Times New Roman"/>
          <w:lang w:eastAsia="zh-CN"/>
        </w:rPr>
        <w:t xml:space="preserve"> </w:t>
      </w:r>
      <w:r w:rsidRPr="00C76262">
        <w:rPr>
          <w:rFonts w:ascii="Times New Roman" w:hAnsi="Times New Roman" w:cs="Times New Roman"/>
        </w:rPr>
        <w:t>-</w:t>
      </w:r>
      <w:r w:rsidRPr="00C76262">
        <w:rPr>
          <w:rFonts w:ascii="Times New Roman" w:eastAsiaTheme="minorEastAsia" w:hAnsi="Times New Roman" w:cs="Times New Roman"/>
          <w:lang w:eastAsia="zh-CN"/>
        </w:rPr>
        <w:t xml:space="preserve"> </w:t>
      </w:r>
      <w:proofErr w:type="spellStart"/>
      <w:r w:rsidRPr="00C76262">
        <w:rPr>
          <w:rFonts w:ascii="Times New Roman" w:hAnsi="Times New Roman" w:cs="Times New Roman"/>
        </w:rPr>
        <w:t>ViTFSG</w:t>
      </w:r>
      <w:proofErr w:type="spellEnd"/>
      <w:r w:rsidRPr="00C76262">
        <w:rPr>
          <w:rFonts w:ascii="Times New Roman" w:hAnsi="Times New Roman" w:cs="Times New Roman"/>
        </w:rPr>
        <w:t xml:space="preserve"> framework, this study has some limitations. First, the LungHist700 dataset contains only 691 histopathological images collected from a limited number of patients, which may restrict the overall diversity of tissue morphology patterns available during training. The dataset does not include multi-centr</w:t>
      </w:r>
      <w:r w:rsidRPr="00C76262">
        <w:rPr>
          <w:rFonts w:ascii="Times New Roman" w:eastAsiaTheme="minorEastAsia" w:hAnsi="Times New Roman" w:cs="Times New Roman"/>
          <w:lang w:eastAsia="zh-CN"/>
        </w:rPr>
        <w:t>e</w:t>
      </w:r>
      <w:r w:rsidRPr="00C76262">
        <w:rPr>
          <w:rFonts w:ascii="Times New Roman" w:hAnsi="Times New Roman" w:cs="Times New Roman"/>
        </w:rPr>
        <w:t xml:space="preserve"> histopathological slides with diverse staining protocols and scanner variations. Additionally, rare lung cancer subtypes and uncommon pathological patterns are underrepresented in the dataset, limiting the model’s ability to generalize across all pulmonary pathology cases. Future work will focus on conducting prospective multi-centr</w:t>
      </w:r>
      <w:r w:rsidRPr="00C76262">
        <w:rPr>
          <w:rFonts w:ascii="Times New Roman" w:eastAsiaTheme="minorEastAsia" w:hAnsi="Times New Roman" w:cs="Times New Roman"/>
          <w:lang w:eastAsia="zh-CN"/>
        </w:rPr>
        <w:t>e</w:t>
      </w:r>
      <w:r w:rsidRPr="00C76262">
        <w:rPr>
          <w:rFonts w:ascii="Times New Roman" w:hAnsi="Times New Roman" w:cs="Times New Roman"/>
        </w:rPr>
        <w:t xml:space="preserve"> validation studies using histopathological datasets collected from diverse clinical institutions to further evaluate the robustness and generalizability of the proposed framework. Furthermore, future extensions of this work will investigate the integration of histopathological image features with patient clinical metadata, including demographic information, genomic biomarkers, and treatment history, to enable more comprehensive prognostic stratification and personalized treatment decision-making in pulmonary oncology.</w:t>
      </w:r>
    </w:p>
    <w:p w14:paraId="1093F635" w14:textId="77777777" w:rsidR="00FF2923" w:rsidRPr="00C76262" w:rsidRDefault="00000000">
      <w:pPr>
        <w:adjustRightInd w:val="0"/>
        <w:snapToGrid w:val="0"/>
        <w:spacing w:before="240" w:after="120" w:line="288" w:lineRule="auto"/>
        <w:ind w:left="2948"/>
        <w:jc w:val="both"/>
        <w:rPr>
          <w:rFonts w:ascii="Times New Roman" w:hAnsi="Times New Roman" w:cs="Times New Roman"/>
          <w:bCs/>
        </w:rPr>
      </w:pPr>
      <w:r w:rsidRPr="00C76262">
        <w:rPr>
          <w:rFonts w:ascii="Times New Roman" w:hAnsi="Times New Roman" w:cs="Times New Roman"/>
          <w:b/>
          <w:bCs/>
        </w:rPr>
        <w:t xml:space="preserve">Author contributions: </w:t>
      </w:r>
      <w:r w:rsidRPr="00C76262">
        <w:rPr>
          <w:rFonts w:ascii="Times New Roman" w:hAnsi="Times New Roman" w:cs="Times New Roman"/>
          <w:bCs/>
          <w:lang w:eastAsia="zh-CN"/>
        </w:rPr>
        <w:t xml:space="preserve">Conceptualization, APJ and GK; methodology, APJ; software, APJ; validation, APJ, GK; formal analysis, APJ; investigation, APJ; resources, GK; data curation, GK; writing original draft preparation, GK; writing review and editing, APJ; visualization, GK; supervision, GK; project administration, APJ; funding acquisition, GK. All authors have read and agreed to the published version of the manuscript. </w:t>
      </w:r>
    </w:p>
    <w:p w14:paraId="1758F6BE" w14:textId="77777777" w:rsidR="00FF2923" w:rsidRPr="00C76262" w:rsidRDefault="00000000">
      <w:pPr>
        <w:adjustRightInd w:val="0"/>
        <w:snapToGrid w:val="0"/>
        <w:spacing w:before="120" w:after="120" w:line="288" w:lineRule="auto"/>
        <w:ind w:left="2948"/>
        <w:jc w:val="both"/>
        <w:rPr>
          <w:rFonts w:ascii="Times New Roman" w:hAnsi="Times New Roman" w:cs="Times New Roman"/>
        </w:rPr>
      </w:pPr>
      <w:r w:rsidRPr="00C76262">
        <w:rPr>
          <w:rFonts w:ascii="Times New Roman" w:hAnsi="Times New Roman" w:cs="Times New Roman"/>
          <w:b/>
          <w:bCs/>
        </w:rPr>
        <w:t>Funding</w:t>
      </w:r>
      <w:r w:rsidRPr="00C76262">
        <w:rPr>
          <w:rFonts w:ascii="Times New Roman" w:hAnsi="Times New Roman" w:cs="Times New Roman"/>
          <w:b/>
          <w:bCs/>
          <w:lang w:eastAsia="zh-CN"/>
        </w:rPr>
        <w:t xml:space="preserve">: </w:t>
      </w:r>
      <w:r w:rsidRPr="00C76262">
        <w:rPr>
          <w:rFonts w:ascii="Times New Roman" w:eastAsiaTheme="minorEastAsia" w:hAnsi="Times New Roman" w:cs="Times New Roman"/>
          <w:lang w:eastAsia="zh-CN"/>
        </w:rPr>
        <w:t>None</w:t>
      </w:r>
      <w:r w:rsidRPr="00C76262">
        <w:rPr>
          <w:rFonts w:ascii="Times New Roman" w:hAnsi="Times New Roman" w:cs="Times New Roman"/>
          <w:lang w:eastAsia="zh-CN"/>
        </w:rPr>
        <w:t>.</w:t>
      </w:r>
    </w:p>
    <w:p w14:paraId="4AFEA64C" w14:textId="77777777" w:rsidR="00FF2923" w:rsidRPr="00C76262" w:rsidRDefault="00000000">
      <w:pPr>
        <w:adjustRightInd w:val="0"/>
        <w:snapToGrid w:val="0"/>
        <w:spacing w:before="120" w:after="120" w:line="288" w:lineRule="auto"/>
        <w:ind w:left="2948"/>
        <w:jc w:val="both"/>
        <w:rPr>
          <w:rFonts w:ascii="Times New Roman" w:hAnsi="Times New Roman" w:cs="Times New Roman"/>
          <w:bCs/>
          <w:lang w:eastAsia="zh-CN"/>
        </w:rPr>
      </w:pPr>
      <w:r w:rsidRPr="00C76262">
        <w:rPr>
          <w:rFonts w:ascii="Times New Roman" w:hAnsi="Times New Roman" w:cs="Times New Roman"/>
          <w:b/>
          <w:bCs/>
        </w:rPr>
        <w:t xml:space="preserve">Ethical approval: </w:t>
      </w:r>
      <w:r w:rsidRPr="00C76262">
        <w:rPr>
          <w:rFonts w:ascii="Times New Roman" w:hAnsi="Times New Roman" w:cs="Times New Roman"/>
          <w:bCs/>
          <w:lang w:eastAsia="zh-CN"/>
        </w:rPr>
        <w:t xml:space="preserve">Not </w:t>
      </w:r>
      <w:r w:rsidR="00C76262" w:rsidRPr="00C76262">
        <w:rPr>
          <w:rFonts w:ascii="Times New Roman" w:eastAsiaTheme="minorEastAsia" w:hAnsi="Times New Roman" w:cs="Times New Roman" w:hint="eastAsia"/>
          <w:bCs/>
          <w:lang w:eastAsia="zh-CN"/>
        </w:rPr>
        <w:t>a</w:t>
      </w:r>
      <w:r w:rsidRPr="00C76262">
        <w:rPr>
          <w:rFonts w:ascii="Times New Roman" w:hAnsi="Times New Roman" w:cs="Times New Roman"/>
          <w:bCs/>
          <w:lang w:eastAsia="zh-CN"/>
        </w:rPr>
        <w:t>pplicable.</w:t>
      </w:r>
    </w:p>
    <w:p w14:paraId="263E9232" w14:textId="77777777" w:rsidR="00FF2923" w:rsidRPr="00C76262" w:rsidRDefault="00000000">
      <w:pPr>
        <w:adjustRightInd w:val="0"/>
        <w:snapToGrid w:val="0"/>
        <w:spacing w:before="120" w:after="120" w:line="288" w:lineRule="auto"/>
        <w:ind w:left="2948"/>
        <w:jc w:val="both"/>
        <w:rPr>
          <w:rFonts w:ascii="Times New Roman" w:hAnsi="Times New Roman" w:cs="Times New Roman"/>
          <w:lang w:eastAsia="zh-CN"/>
        </w:rPr>
      </w:pPr>
      <w:r w:rsidRPr="00C76262">
        <w:rPr>
          <w:rFonts w:ascii="Times New Roman" w:hAnsi="Times New Roman" w:cs="Times New Roman"/>
          <w:b/>
          <w:bCs/>
        </w:rPr>
        <w:t xml:space="preserve">Informed consent statement: </w:t>
      </w:r>
      <w:r w:rsidRPr="00C76262">
        <w:rPr>
          <w:rFonts w:ascii="Times New Roman" w:hAnsi="Times New Roman" w:cs="Times New Roman"/>
          <w:lang w:eastAsia="zh-CN"/>
        </w:rPr>
        <w:t xml:space="preserve">Not </w:t>
      </w:r>
      <w:r w:rsidR="00C76262" w:rsidRPr="00C76262">
        <w:rPr>
          <w:rFonts w:ascii="Times New Roman" w:eastAsiaTheme="minorEastAsia" w:hAnsi="Times New Roman" w:cs="Times New Roman" w:hint="eastAsia"/>
          <w:lang w:eastAsia="zh-CN"/>
        </w:rPr>
        <w:t>a</w:t>
      </w:r>
      <w:r w:rsidRPr="00C76262">
        <w:rPr>
          <w:rFonts w:ascii="Times New Roman" w:hAnsi="Times New Roman" w:cs="Times New Roman"/>
          <w:lang w:eastAsia="zh-CN"/>
        </w:rPr>
        <w:t>pplicable.</w:t>
      </w:r>
    </w:p>
    <w:p w14:paraId="497B40CF" w14:textId="77777777" w:rsidR="00FF2923" w:rsidRPr="00C76262" w:rsidRDefault="00000000">
      <w:pPr>
        <w:adjustRightInd w:val="0"/>
        <w:snapToGrid w:val="0"/>
        <w:spacing w:before="120" w:after="120" w:line="288" w:lineRule="auto"/>
        <w:ind w:left="2948"/>
        <w:jc w:val="both"/>
        <w:rPr>
          <w:rFonts w:ascii="Times New Roman" w:hAnsi="Times New Roman" w:cs="Times New Roman"/>
        </w:rPr>
      </w:pPr>
      <w:r w:rsidRPr="00C76262">
        <w:rPr>
          <w:rFonts w:ascii="Times New Roman" w:hAnsi="Times New Roman" w:cs="Times New Roman"/>
          <w:b/>
        </w:rPr>
        <w:t>Conflict of interest</w:t>
      </w:r>
      <w:r w:rsidRPr="00C76262">
        <w:rPr>
          <w:rFonts w:ascii="Times New Roman" w:hAnsi="Times New Roman" w:cs="Times New Roman"/>
          <w:b/>
          <w:lang w:eastAsia="zh-CN"/>
        </w:rPr>
        <w:t xml:space="preserve">: </w:t>
      </w:r>
      <w:r w:rsidRPr="00C76262">
        <w:rPr>
          <w:rFonts w:ascii="Times New Roman" w:hAnsi="Times New Roman" w:cs="Times New Roman"/>
        </w:rPr>
        <w:t>The authors declare no conflict of interest.</w:t>
      </w:r>
    </w:p>
    <w:p w14:paraId="18722B54" w14:textId="77777777" w:rsidR="00FF2923" w:rsidRPr="00C76262" w:rsidRDefault="00000000">
      <w:pPr>
        <w:adjustRightInd w:val="0"/>
        <w:snapToGrid w:val="0"/>
        <w:spacing w:before="240" w:after="120" w:line="288" w:lineRule="auto"/>
        <w:rPr>
          <w:rFonts w:ascii="Times New Roman" w:eastAsia="Times New Roman" w:hAnsi="Times New Roman" w:cs="Times New Roman"/>
          <w:b/>
          <w:sz w:val="26"/>
          <w:szCs w:val="26"/>
          <w:lang w:val="en-US"/>
        </w:rPr>
      </w:pPr>
      <w:r w:rsidRPr="00C76262">
        <w:rPr>
          <w:rFonts w:ascii="Times New Roman" w:eastAsia="Times New Roman" w:hAnsi="Times New Roman" w:cs="Times New Roman"/>
          <w:b/>
          <w:sz w:val="26"/>
          <w:szCs w:val="26"/>
          <w:lang w:val="en-US"/>
        </w:rPr>
        <w:t>References</w:t>
      </w:r>
    </w:p>
    <w:p w14:paraId="6EF4FF18"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bookmarkStart w:id="17" w:name="OLE_LINK12"/>
      <w:r w:rsidRPr="00C76262">
        <w:rPr>
          <w:rFonts w:ascii="Times New Roman" w:hAnsi="Times New Roman" w:cs="Times New Roman"/>
        </w:rPr>
        <w:t xml:space="preserve">Wankhade S, Vigneshwari S. A novel hybrid deep learning method for early detection of lung cancer using neural networks. Healthcare Analytics. 2023; 3(1): 100195. </w:t>
      </w:r>
      <w:bookmarkStart w:id="18" w:name="OLE_LINK7"/>
      <w:proofErr w:type="spellStart"/>
      <w:r w:rsidRPr="00C76262">
        <w:rPr>
          <w:rFonts w:ascii="Times New Roman" w:hAnsi="Times New Roman" w:cs="Times New Roman"/>
        </w:rPr>
        <w:t>doi</w:t>
      </w:r>
      <w:proofErr w:type="spellEnd"/>
      <w:r w:rsidRPr="00C76262">
        <w:rPr>
          <w:rFonts w:ascii="Times New Roman" w:hAnsi="Times New Roman" w:cs="Times New Roman"/>
        </w:rPr>
        <w:t xml:space="preserve">: </w:t>
      </w:r>
      <w:bookmarkEnd w:id="18"/>
      <w:r w:rsidRPr="00C76262">
        <w:rPr>
          <w:rFonts w:ascii="Times New Roman" w:hAnsi="Times New Roman" w:cs="Times New Roman"/>
        </w:rPr>
        <w:t>10.1016/j.health.2023.100195</w:t>
      </w:r>
    </w:p>
    <w:p w14:paraId="47EB23CB"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lastRenderedPageBreak/>
        <w:t xml:space="preserve">Noaman NF, Kanber BM, Al Smadi A, et al. </w:t>
      </w:r>
      <w:r w:rsidRPr="00C76262">
        <w:rPr>
          <w:rFonts w:ascii="Times New Roman" w:hAnsi="Times New Roman" w:cs="Times New Roman"/>
        </w:rPr>
        <w:t xml:space="preserve">Advancing oncology diagnostics: AI-enabled early detection of lung cancer through hybrid histological image analysis. IEEE Access. 2024; 12(3): 64396–64415. </w:t>
      </w:r>
      <w:proofErr w:type="spellStart"/>
      <w:r w:rsidRPr="00C76262">
        <w:rPr>
          <w:rFonts w:ascii="Times New Roman" w:hAnsi="Times New Roman" w:cs="Times New Roman"/>
        </w:rPr>
        <w:t>doi</w:t>
      </w:r>
      <w:proofErr w:type="spellEnd"/>
      <w:r w:rsidRPr="00C76262">
        <w:rPr>
          <w:rFonts w:ascii="Times New Roman" w:hAnsi="Times New Roman" w:cs="Times New Roman"/>
        </w:rPr>
        <w:t>: 10.1109/ACCESS.2024.3397040</w:t>
      </w:r>
    </w:p>
    <w:p w14:paraId="22C90820"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Li M, Ma X, Chen C, et al. </w:t>
      </w:r>
      <w:r w:rsidRPr="00C76262">
        <w:rPr>
          <w:rFonts w:ascii="Times New Roman" w:hAnsi="Times New Roman" w:cs="Times New Roman"/>
        </w:rPr>
        <w:t xml:space="preserve">Research on the auxiliary classification and diagnosis of lung cancer subtypes based on histopathological images. IEEE Access. 2021; 9(2): 53687–53707. </w:t>
      </w:r>
      <w:proofErr w:type="spellStart"/>
      <w:r w:rsidRPr="00C76262">
        <w:rPr>
          <w:rFonts w:ascii="Times New Roman" w:hAnsi="Times New Roman" w:cs="Times New Roman"/>
        </w:rPr>
        <w:t>doi</w:t>
      </w:r>
      <w:proofErr w:type="spellEnd"/>
      <w:r w:rsidRPr="00C76262">
        <w:rPr>
          <w:rFonts w:ascii="Times New Roman" w:hAnsi="Times New Roman" w:cs="Times New Roman"/>
        </w:rPr>
        <w:t>: 10.1109/ACCESS.2021.3071057</w:t>
      </w:r>
    </w:p>
    <w:p w14:paraId="15498440"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Wang L. Deep learning techniques to diagnose lung cancer. Cancers. 2022; 14(22): 5569. </w:t>
      </w:r>
      <w:proofErr w:type="spellStart"/>
      <w:r w:rsidRPr="00C76262">
        <w:rPr>
          <w:rFonts w:ascii="Times New Roman" w:hAnsi="Times New Roman" w:cs="Times New Roman"/>
        </w:rPr>
        <w:t>doi</w:t>
      </w:r>
      <w:proofErr w:type="spellEnd"/>
      <w:r w:rsidRPr="00C76262">
        <w:rPr>
          <w:rFonts w:ascii="Times New Roman" w:hAnsi="Times New Roman" w:cs="Times New Roman"/>
        </w:rPr>
        <w:t>: 10.3390/cancers14225569</w:t>
      </w:r>
    </w:p>
    <w:p w14:paraId="40634FCF"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proofErr w:type="spellStart"/>
      <w:r w:rsidRPr="00C76262">
        <w:rPr>
          <w:rFonts w:ascii="Times New Roman" w:hAnsi="Times New Roman" w:cs="Times New Roman"/>
        </w:rPr>
        <w:t>Mridha</w:t>
      </w:r>
      <w:proofErr w:type="spellEnd"/>
      <w:r w:rsidRPr="00C76262">
        <w:rPr>
          <w:rFonts w:ascii="Times New Roman" w:hAnsi="Times New Roman" w:cs="Times New Roman"/>
        </w:rPr>
        <w:t xml:space="preserve"> MF, </w:t>
      </w:r>
      <w:proofErr w:type="spellStart"/>
      <w:r w:rsidRPr="00C76262">
        <w:rPr>
          <w:rFonts w:ascii="Times New Roman" w:hAnsi="Times New Roman" w:cs="Times New Roman"/>
        </w:rPr>
        <w:t>Prodeep</w:t>
      </w:r>
      <w:proofErr w:type="spellEnd"/>
      <w:r w:rsidRPr="00C76262">
        <w:rPr>
          <w:rFonts w:ascii="Times New Roman" w:hAnsi="Times New Roman" w:cs="Times New Roman"/>
        </w:rPr>
        <w:t xml:space="preserve"> AR, Hoque AM, et al. A comprehensive survey on the progress, process, and challenges of lung cancer detection and classification. Journal of Healthcare Engineering. 2022; 2022(1): 5905230. </w:t>
      </w:r>
      <w:proofErr w:type="spellStart"/>
      <w:r w:rsidRPr="00C76262">
        <w:rPr>
          <w:rFonts w:ascii="Times New Roman" w:hAnsi="Times New Roman" w:cs="Times New Roman"/>
        </w:rPr>
        <w:t>doi</w:t>
      </w:r>
      <w:proofErr w:type="spellEnd"/>
      <w:r w:rsidRPr="00C76262">
        <w:rPr>
          <w:rFonts w:ascii="Times New Roman" w:hAnsi="Times New Roman" w:cs="Times New Roman"/>
        </w:rPr>
        <w:t>: 10.1155/2022/5905230</w:t>
      </w:r>
    </w:p>
    <w:p w14:paraId="3CF999C2"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Rajasekar V, </w:t>
      </w:r>
      <w:proofErr w:type="spellStart"/>
      <w:r w:rsidRPr="00C76262">
        <w:rPr>
          <w:rFonts w:ascii="Times New Roman" w:hAnsi="Times New Roman" w:cs="Times New Roman"/>
        </w:rPr>
        <w:t>Vaishnnave</w:t>
      </w:r>
      <w:proofErr w:type="spellEnd"/>
      <w:r w:rsidRPr="00C76262">
        <w:rPr>
          <w:rFonts w:ascii="Times New Roman" w:hAnsi="Times New Roman" w:cs="Times New Roman"/>
        </w:rPr>
        <w:t xml:space="preserve"> MP, Premkumar S, et al. Lung cancer disease prediction with CT scan and histopathological images feature analysis using deep learning techniques. Results in Engineering. 2023; 18(5): 101111.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10.1016/j.rineng.2023.101111</w:t>
      </w:r>
    </w:p>
    <w:p w14:paraId="4E8C6DFC"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Zhang Y, Yang Z, Chen R, et al. </w:t>
      </w:r>
      <w:r w:rsidRPr="00C76262">
        <w:rPr>
          <w:rFonts w:ascii="Times New Roman" w:hAnsi="Times New Roman" w:cs="Times New Roman"/>
        </w:rPr>
        <w:t xml:space="preserve">Histopathology images-based deep learning prediction of prognosis and therapeutic response in small cell lung cancer. NPJ Digital Medicine. 2024; 7(1): 15. </w:t>
      </w:r>
      <w:proofErr w:type="spellStart"/>
      <w:r w:rsidRPr="00C76262">
        <w:rPr>
          <w:rFonts w:ascii="Times New Roman" w:hAnsi="Times New Roman" w:cs="Times New Roman"/>
        </w:rPr>
        <w:t>doi</w:t>
      </w:r>
      <w:proofErr w:type="spellEnd"/>
      <w:r w:rsidRPr="00C76262">
        <w:rPr>
          <w:rFonts w:ascii="Times New Roman" w:hAnsi="Times New Roman" w:cs="Times New Roman"/>
        </w:rPr>
        <w:t>: 10.1038/s41746-024-01003-0</w:t>
      </w:r>
    </w:p>
    <w:p w14:paraId="7C643376"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Diosdado J, Gilabert P, </w:t>
      </w:r>
      <w:proofErr w:type="spellStart"/>
      <w:r w:rsidRPr="00C76262">
        <w:rPr>
          <w:rFonts w:ascii="Times New Roman" w:hAnsi="Times New Roman" w:cs="Times New Roman"/>
        </w:rPr>
        <w:t>Seguí</w:t>
      </w:r>
      <w:proofErr w:type="spellEnd"/>
      <w:r w:rsidRPr="00C76262">
        <w:rPr>
          <w:rFonts w:ascii="Times New Roman" w:hAnsi="Times New Roman" w:cs="Times New Roman"/>
        </w:rPr>
        <w:t xml:space="preserve"> S, Borrego H. LungHist700: A dataset of histological images for deep learning in pulmonary pathology. Scientific Data. 2024; 11(1): 1088. </w:t>
      </w:r>
      <w:proofErr w:type="spellStart"/>
      <w:r w:rsidRPr="00C76262">
        <w:rPr>
          <w:rFonts w:ascii="Times New Roman" w:hAnsi="Times New Roman" w:cs="Times New Roman"/>
        </w:rPr>
        <w:t>doi</w:t>
      </w:r>
      <w:proofErr w:type="spellEnd"/>
      <w:r w:rsidRPr="00C76262">
        <w:rPr>
          <w:rFonts w:ascii="Times New Roman" w:hAnsi="Times New Roman" w:cs="Times New Roman"/>
        </w:rPr>
        <w:t>: 10.1038/s41597-024-03944-3</w:t>
      </w:r>
    </w:p>
    <w:p w14:paraId="2B172AAF"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proofErr w:type="spellStart"/>
      <w:r w:rsidRPr="00C76262">
        <w:rPr>
          <w:rFonts w:ascii="Times New Roman" w:hAnsi="Times New Roman" w:cs="Times New Roman"/>
        </w:rPr>
        <w:t>Rokutan</w:t>
      </w:r>
      <w:proofErr w:type="spellEnd"/>
      <w:r w:rsidRPr="00C76262">
        <w:rPr>
          <w:rFonts w:ascii="Times New Roman" w:hAnsi="Times New Roman" w:cs="Times New Roman"/>
        </w:rPr>
        <w:t xml:space="preserve">-Kurata M, Yoshizawa A, Ueno K, et al. Validation study of the International Association for the Study of Lung Cancer histologic grading system of invasive lung adenocarcinoma. Journal of Thoracic Oncology. 2021; 16(10): 1753–1758.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10.1016/j.jtho.2021.04.008</w:t>
      </w:r>
    </w:p>
    <w:p w14:paraId="32CD35F2"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Han YB, Kim H, Mino-</w:t>
      </w:r>
      <w:proofErr w:type="spellStart"/>
      <w:r w:rsidRPr="00C76262">
        <w:rPr>
          <w:rFonts w:ascii="Times New Roman" w:hAnsi="Times New Roman" w:cs="Times New Roman"/>
        </w:rPr>
        <w:t>Kenudson</w:t>
      </w:r>
      <w:proofErr w:type="spellEnd"/>
      <w:r w:rsidRPr="00C76262">
        <w:rPr>
          <w:rFonts w:ascii="Times New Roman" w:hAnsi="Times New Roman" w:cs="Times New Roman"/>
        </w:rPr>
        <w:t xml:space="preserve"> M, et al. Tumor spread through air spaces (STAS): Prognostic significance of grading in non-small cell lung cancer. Modern Pathology. 2021; 34(3): 549–561. </w:t>
      </w:r>
      <w:proofErr w:type="spellStart"/>
      <w:r w:rsidRPr="00C76262">
        <w:rPr>
          <w:rFonts w:ascii="Times New Roman" w:hAnsi="Times New Roman" w:cs="Times New Roman"/>
        </w:rPr>
        <w:t>doi</w:t>
      </w:r>
      <w:proofErr w:type="spellEnd"/>
      <w:r w:rsidRPr="00C76262">
        <w:rPr>
          <w:rFonts w:ascii="Times New Roman" w:hAnsi="Times New Roman" w:cs="Times New Roman"/>
        </w:rPr>
        <w:t>: 10.1038/s41379-020-00709-2</w:t>
      </w:r>
    </w:p>
    <w:p w14:paraId="059B4B80"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Fujikawa R, Muraoka Y, Kashima J, et al. Clinicopathologic and genotypic features of lung adenocarcinoma characterized by the international association for the study of lung cancer grading system. Journal of Thoracic Oncology. 2022; 17(5): 700–707.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10.1016/j.jtho.2022.02.005</w:t>
      </w:r>
    </w:p>
    <w:p w14:paraId="31AC2506"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Moreira AL, Ocampo PS, Xia Y, et al. A grading system for invasive pulmonary adenocarcinoma: A proposal from the International Association for the Study of Lung Cancer Pathology Committee. Journal of Thoracic Oncology. 2020; 15(10): 1599–1610.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10.1016/j.jtho.2020.06.001</w:t>
      </w:r>
    </w:p>
    <w:p w14:paraId="34152182"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Tan KS, Reiner A, Emoto K, et al. Novel insights into the international association for the study of lung cancer grading system for lung adenocarcinoma. Modern Pathology. 2024; 37(7): 100520.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10.1016/j.modpat.2024.100520</w:t>
      </w:r>
    </w:p>
    <w:p w14:paraId="29B35943"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Niedermaier B, Rolf E, Allgäuer M, et al. </w:t>
      </w:r>
      <w:r w:rsidRPr="00C76262">
        <w:rPr>
          <w:rFonts w:ascii="Times New Roman" w:hAnsi="Times New Roman" w:cs="Times New Roman"/>
        </w:rPr>
        <w:t xml:space="preserve">Prognostic impact of lepidic growth in intermediate and high-grade lung adenocarcinoma. Lung Cancer. 2025; 206(5): 108674. </w:t>
      </w:r>
      <w:proofErr w:type="spellStart"/>
      <w:r w:rsidRPr="00C76262">
        <w:rPr>
          <w:rFonts w:ascii="Times New Roman" w:hAnsi="Times New Roman" w:cs="Times New Roman"/>
        </w:rPr>
        <w:t>doi</w:t>
      </w:r>
      <w:proofErr w:type="spellEnd"/>
      <w:r w:rsidRPr="00C76262">
        <w:rPr>
          <w:rFonts w:ascii="Times New Roman" w:hAnsi="Times New Roman" w:cs="Times New Roman"/>
        </w:rPr>
        <w:t>: 10.1016/j.lungcan.2025.108674</w:t>
      </w:r>
    </w:p>
    <w:p w14:paraId="60741B6E"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proofErr w:type="spellStart"/>
      <w:r w:rsidRPr="00C76262">
        <w:rPr>
          <w:rFonts w:ascii="Times New Roman" w:hAnsi="Times New Roman" w:cs="Times New Roman"/>
        </w:rPr>
        <w:t>Elazab</w:t>
      </w:r>
      <w:proofErr w:type="spellEnd"/>
      <w:r w:rsidRPr="00C76262">
        <w:rPr>
          <w:rFonts w:ascii="Times New Roman" w:hAnsi="Times New Roman" w:cs="Times New Roman"/>
        </w:rPr>
        <w:t xml:space="preserve"> N, Gab-Allah WA, </w:t>
      </w:r>
      <w:proofErr w:type="spellStart"/>
      <w:r w:rsidRPr="00C76262">
        <w:rPr>
          <w:rFonts w:ascii="Times New Roman" w:hAnsi="Times New Roman" w:cs="Times New Roman"/>
        </w:rPr>
        <w:t>Elmogy</w:t>
      </w:r>
      <w:proofErr w:type="spellEnd"/>
      <w:r w:rsidRPr="00C76262">
        <w:rPr>
          <w:rFonts w:ascii="Times New Roman" w:hAnsi="Times New Roman" w:cs="Times New Roman"/>
        </w:rPr>
        <w:t xml:space="preserve"> M. A multi-class brain tumor grading system based on histopathological images using a hybrid YOLO and RESNET networks. Scientific Reports. 2024; 14(1): 4584. </w:t>
      </w:r>
      <w:proofErr w:type="spellStart"/>
      <w:r w:rsidRPr="00C76262">
        <w:rPr>
          <w:rFonts w:ascii="Times New Roman" w:hAnsi="Times New Roman" w:cs="Times New Roman"/>
        </w:rPr>
        <w:t>doi</w:t>
      </w:r>
      <w:proofErr w:type="spellEnd"/>
      <w:r w:rsidRPr="00C76262">
        <w:rPr>
          <w:rFonts w:ascii="Times New Roman" w:hAnsi="Times New Roman" w:cs="Times New Roman"/>
        </w:rPr>
        <w:t>: 10.1038/s41598-024-54864-6</w:t>
      </w:r>
    </w:p>
    <w:p w14:paraId="614D3EB9"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Li M, Ma X, Chen C, et al. </w:t>
      </w:r>
      <w:r w:rsidRPr="00C76262">
        <w:rPr>
          <w:rFonts w:ascii="Times New Roman" w:hAnsi="Times New Roman" w:cs="Times New Roman"/>
        </w:rPr>
        <w:t xml:space="preserve">Research on the auxiliary classification and diagnosis of lung cancer subtypes based on histopathological images. IEEE Access. 2021; 9(1): 53687–53707. </w:t>
      </w:r>
      <w:proofErr w:type="spellStart"/>
      <w:r w:rsidRPr="00C76262">
        <w:rPr>
          <w:rFonts w:ascii="Times New Roman" w:hAnsi="Times New Roman" w:cs="Times New Roman"/>
        </w:rPr>
        <w:t>doi</w:t>
      </w:r>
      <w:proofErr w:type="spellEnd"/>
      <w:r w:rsidRPr="00C76262">
        <w:rPr>
          <w:rFonts w:ascii="Times New Roman" w:hAnsi="Times New Roman" w:cs="Times New Roman"/>
        </w:rPr>
        <w:t>: 10.1109/ACCESS.2021.3071057</w:t>
      </w:r>
    </w:p>
    <w:p w14:paraId="6B6C3165"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 xml:space="preserve">Sethy PK, Geetha Devi A, Padhan B, et al. Lung cancer histopathological image classification using wavelets and </w:t>
      </w:r>
      <w:proofErr w:type="spellStart"/>
      <w:r w:rsidRPr="00C76262">
        <w:rPr>
          <w:rFonts w:ascii="Times New Roman" w:hAnsi="Times New Roman" w:cs="Times New Roman"/>
        </w:rPr>
        <w:t>AlexNet</w:t>
      </w:r>
      <w:proofErr w:type="spellEnd"/>
      <w:r w:rsidRPr="00C76262">
        <w:rPr>
          <w:rFonts w:ascii="Times New Roman" w:hAnsi="Times New Roman" w:cs="Times New Roman"/>
        </w:rPr>
        <w:t xml:space="preserve">. Journal of X-Ray Science and Technology. 2023; 31(1): 211–221. </w:t>
      </w:r>
      <w:proofErr w:type="spellStart"/>
      <w:r w:rsidRPr="00C76262">
        <w:rPr>
          <w:rFonts w:ascii="Times New Roman" w:hAnsi="Times New Roman" w:cs="Times New Roman"/>
        </w:rPr>
        <w:t>doi</w:t>
      </w:r>
      <w:proofErr w:type="spellEnd"/>
      <w:r w:rsidRPr="00C76262">
        <w:rPr>
          <w:rFonts w:ascii="Times New Roman" w:hAnsi="Times New Roman" w:cs="Times New Roman"/>
        </w:rPr>
        <w:t>: 10.3233/xst-221301</w:t>
      </w:r>
    </w:p>
    <w:p w14:paraId="30AFE900"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Sumon RI, Mazumdar MAI, Uddin SMI, et al. </w:t>
      </w:r>
      <w:r w:rsidRPr="00C76262">
        <w:rPr>
          <w:rFonts w:ascii="Times New Roman" w:hAnsi="Times New Roman" w:cs="Times New Roman"/>
          <w:lang w:val="en-IN"/>
        </w:rPr>
        <w:t xml:space="preserve">Exploring deep learning and machine learning techniques for histopathological image classification in lung cancer diagnosis. 2024 International Conference on Electrical, Computer and Energy Technologies ICECET. IEEE; 2024. pp. 1–6. </w:t>
      </w:r>
      <w:proofErr w:type="spellStart"/>
      <w:r w:rsidRPr="00C76262">
        <w:rPr>
          <w:rFonts w:ascii="Times New Roman" w:hAnsi="Times New Roman" w:cs="Times New Roman"/>
          <w:lang w:val="en-IN"/>
        </w:rPr>
        <w:t>doi</w:t>
      </w:r>
      <w:proofErr w:type="spellEnd"/>
      <w:r w:rsidRPr="00C76262">
        <w:rPr>
          <w:rFonts w:ascii="Times New Roman" w:hAnsi="Times New Roman" w:cs="Times New Roman"/>
          <w:lang w:val="en-IN"/>
        </w:rPr>
        <w:t>: 10.1109/ICECET61485.2024.10698211</w:t>
      </w:r>
    </w:p>
    <w:p w14:paraId="678A81D6"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rPr>
        <w:t>LungHist700 dataset. Available online: https://www.kaggle.com/datasets/abdullahhasansajjad/lunghist700 (</w:t>
      </w:r>
      <w:r w:rsidR="00C76262" w:rsidRPr="00C76262">
        <w:rPr>
          <w:rFonts w:ascii="Times New Roman" w:hAnsi="Times New Roman" w:cs="Times New Roman"/>
        </w:rPr>
        <w:t>a</w:t>
      </w:r>
      <w:r w:rsidRPr="00C76262">
        <w:rPr>
          <w:rFonts w:ascii="Times New Roman" w:hAnsi="Times New Roman" w:cs="Times New Roman"/>
        </w:rPr>
        <w:t>ccessed on 5 February 2026).</w:t>
      </w:r>
    </w:p>
    <w:p w14:paraId="47A3CA9B" w14:textId="77777777" w:rsidR="00FF2923" w:rsidRPr="00C76262" w:rsidRDefault="00000000">
      <w:pPr>
        <w:pStyle w:val="EndNoteBibliography"/>
        <w:numPr>
          <w:ilvl w:val="0"/>
          <w:numId w:val="2"/>
        </w:numPr>
        <w:adjustRightInd w:val="0"/>
        <w:snapToGrid w:val="0"/>
        <w:spacing w:line="288" w:lineRule="auto"/>
        <w:ind w:left="420" w:hanging="420"/>
        <w:jc w:val="left"/>
        <w:rPr>
          <w:rFonts w:ascii="Times New Roman" w:hAnsi="Times New Roman" w:cs="Times New Roman"/>
        </w:rPr>
      </w:pPr>
      <w:r w:rsidRPr="00C76262">
        <w:rPr>
          <w:rFonts w:ascii="Times New Roman" w:hAnsi="Times New Roman" w:cs="Times New Roman"/>
          <w:lang w:val="de-DE"/>
        </w:rPr>
        <w:t xml:space="preserve">Rehman ZU, Wan Ahmad WSHM, Ahmad Fauz, et al. </w:t>
      </w:r>
      <w:r w:rsidRPr="00C76262">
        <w:rPr>
          <w:rFonts w:ascii="Times New Roman" w:hAnsi="Times New Roman" w:cs="Times New Roman"/>
        </w:rPr>
        <w:t>Comprehensive analysis of color normalization methods for HER2-SISH histopathology images. Journal of Engineering Science and Technology. 2024; 19(2): 146–159.</w:t>
      </w:r>
    </w:p>
    <w:p w14:paraId="71A06A4E" w14:textId="77777777" w:rsidR="00FF2923" w:rsidRPr="00C76262" w:rsidRDefault="00000000" w:rsidP="00C76262">
      <w:pPr>
        <w:pStyle w:val="EndNoteBibliography"/>
        <w:numPr>
          <w:ilvl w:val="0"/>
          <w:numId w:val="2"/>
        </w:numPr>
        <w:adjustRightInd w:val="0"/>
        <w:snapToGrid w:val="0"/>
        <w:spacing w:line="288" w:lineRule="auto"/>
        <w:ind w:left="420" w:hanging="420"/>
        <w:rPr>
          <w:rFonts w:ascii="Times New Roman" w:hAnsi="Times New Roman" w:cs="Times New Roman"/>
        </w:rPr>
      </w:pPr>
      <w:r w:rsidRPr="00C76262">
        <w:rPr>
          <w:rFonts w:ascii="Times New Roman" w:hAnsi="Times New Roman" w:cs="Times New Roman"/>
        </w:rPr>
        <w:t>LC25,000 dataset.</w:t>
      </w:r>
      <w:bookmarkStart w:id="19" w:name="OLE_LINK4"/>
      <w:r w:rsidRPr="00C76262">
        <w:rPr>
          <w:rFonts w:ascii="Times New Roman" w:hAnsi="Times New Roman" w:cs="Times New Roman"/>
        </w:rPr>
        <w:t xml:space="preserve"> Available online: </w:t>
      </w:r>
      <w:bookmarkEnd w:id="19"/>
      <w:r w:rsidRPr="00C76262">
        <w:rPr>
          <w:rFonts w:ascii="Times New Roman" w:hAnsi="Times New Roman" w:cs="Times New Roman"/>
        </w:rPr>
        <w:t>https: // www.kaggle.com/datasets/javaidahmadwani/lc25,000 (</w:t>
      </w:r>
      <w:r w:rsidR="00C76262" w:rsidRPr="00C76262">
        <w:rPr>
          <w:rFonts w:ascii="Times New Roman" w:hAnsi="Times New Roman" w:cs="Times New Roman"/>
        </w:rPr>
        <w:t>a</w:t>
      </w:r>
      <w:r w:rsidRPr="00C76262">
        <w:rPr>
          <w:rFonts w:ascii="Times New Roman" w:hAnsi="Times New Roman" w:cs="Times New Roman"/>
        </w:rPr>
        <w:t>ccessed on 5 February 2026).</w:t>
      </w:r>
      <w:bookmarkEnd w:id="17"/>
    </w:p>
    <w:sectPr w:rsidR="00FF2923" w:rsidRPr="00C76262">
      <w:headerReference w:type="default" r:id="rId30"/>
      <w:footerReference w:type="default" r:id="rId31"/>
      <w:headerReference w:type="first" r:id="rId32"/>
      <w:footerReference w:type="first" r:id="rId33"/>
      <w:pgSz w:w="11907" w:h="16840"/>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3501" w14:textId="77777777" w:rsidR="00D30FAF" w:rsidRDefault="00D30FAF">
      <w:pPr>
        <w:spacing w:line="240" w:lineRule="auto"/>
      </w:pPr>
      <w:r>
        <w:separator/>
      </w:r>
    </w:p>
  </w:endnote>
  <w:endnote w:type="continuationSeparator" w:id="0">
    <w:p w14:paraId="1D6F682E" w14:textId="77777777" w:rsidR="00D30FAF" w:rsidRDefault="00D30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5244" w14:textId="77777777" w:rsidR="00FF2923" w:rsidRDefault="00000000">
    <w:pPr>
      <w:pStyle w:val="a7"/>
      <w:tabs>
        <w:tab w:val="clear" w:pos="4513"/>
        <w:tab w:val="clear" w:pos="9026"/>
        <w:tab w:val="center" w:pos="4677"/>
        <w:tab w:val="right" w:pos="9355"/>
      </w:tabs>
      <w:adjustRightInd w:val="0"/>
      <w:snapToGrid w:val="0"/>
      <w:jc w:val="center"/>
      <w:rPr>
        <w:rFonts w:ascii="Times New Roman" w:eastAsia="宋体" w:hAnsi="Times New Roman" w:cs="Times New Roman"/>
        <w:sz w:val="16"/>
        <w:szCs w:val="16"/>
        <w:lang w:val="zh-CN" w:eastAsia="zh-CN"/>
      </w:rPr>
    </w:pPr>
    <w:r>
      <w:rPr>
        <w:rFonts w:ascii="Times New Roman" w:eastAsia="宋体" w:hAnsi="Times New Roman" w:cs="Times New Roman"/>
        <w:sz w:val="16"/>
        <w:szCs w:val="16"/>
        <w:lang w:val="zh-CN" w:eastAsia="zh-CN"/>
      </w:rPr>
      <w:fldChar w:fldCharType="begin"/>
    </w:r>
    <w:r>
      <w:rPr>
        <w:rFonts w:ascii="Times New Roman" w:eastAsia="宋体" w:hAnsi="Times New Roman" w:cs="Times New Roman"/>
        <w:sz w:val="16"/>
        <w:szCs w:val="16"/>
        <w:lang w:val="zh-CN" w:eastAsia="zh-CN"/>
      </w:rPr>
      <w:instrText>PAGE  \* Arabic  \* MERGEFORMAT</w:instrText>
    </w:r>
    <w:r>
      <w:rPr>
        <w:rFonts w:ascii="Times New Roman" w:eastAsia="宋体" w:hAnsi="Times New Roman" w:cs="Times New Roman"/>
        <w:sz w:val="16"/>
        <w:szCs w:val="16"/>
        <w:lang w:val="zh-CN" w:eastAsia="zh-CN"/>
      </w:rPr>
      <w:fldChar w:fldCharType="separate"/>
    </w:r>
    <w:r>
      <w:rPr>
        <w:rFonts w:ascii="Times New Roman" w:eastAsia="宋体" w:hAnsi="Times New Roman" w:cs="Times New Roman"/>
        <w:sz w:val="16"/>
        <w:szCs w:val="16"/>
        <w:lang w:val="zh-CN" w:eastAsia="zh-CN"/>
      </w:rPr>
      <w:t>1</w:t>
    </w:r>
    <w:r>
      <w:rPr>
        <w:rFonts w:ascii="Times New Roman" w:eastAsia="宋体" w:hAnsi="Times New Roman" w:cs="Times New Roman"/>
        <w:sz w:val="16"/>
        <w:szCs w:val="16"/>
        <w:lang w:val="zh-CN" w:eastAsia="zh-CN"/>
      </w:rPr>
      <w:t>4</w:t>
    </w:r>
    <w:r>
      <w:rPr>
        <w:rFonts w:ascii="Times New Roman" w:eastAsia="宋体" w:hAnsi="Times New Roman" w:cs="Times New Roman"/>
        <w:sz w:val="16"/>
        <w:szCs w:val="16"/>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88879"/>
    </w:sdtPr>
    <w:sdtEndPr>
      <w:rPr>
        <w:rFonts w:ascii="Times New Roman" w:eastAsia="宋体" w:hAnsi="Times New Roman" w:cs="Times New Roman"/>
        <w:sz w:val="16"/>
        <w:szCs w:val="16"/>
        <w:lang w:val="en-US" w:eastAsia="zh-CN"/>
      </w:rPr>
    </w:sdtEndPr>
    <w:sdtContent>
      <w:p w14:paraId="6DFE9936" w14:textId="77777777" w:rsidR="00FF2923" w:rsidRDefault="00000000">
        <w:pPr>
          <w:pStyle w:val="a7"/>
          <w:jc w:val="center"/>
          <w:rPr>
            <w:rFonts w:ascii="Times New Roman" w:eastAsia="宋体" w:hAnsi="Times New Roman" w:cs="Times New Roman"/>
            <w:sz w:val="16"/>
            <w:szCs w:val="16"/>
            <w:lang w:val="en-US" w:eastAsia="zh-CN"/>
          </w:rPr>
        </w:pPr>
        <w:r>
          <w:rPr>
            <w:rFonts w:ascii="Times New Roman" w:eastAsia="宋体" w:hAnsi="Times New Roman" w:cs="Times New Roman"/>
            <w:sz w:val="16"/>
            <w:szCs w:val="16"/>
            <w:lang w:val="en-US" w:eastAsia="zh-CN"/>
          </w:rPr>
          <w:fldChar w:fldCharType="begin"/>
        </w:r>
        <w:r>
          <w:rPr>
            <w:rFonts w:ascii="Times New Roman" w:eastAsia="宋体" w:hAnsi="Times New Roman" w:cs="Times New Roman"/>
            <w:sz w:val="16"/>
            <w:szCs w:val="16"/>
            <w:lang w:val="en-US" w:eastAsia="zh-CN"/>
          </w:rPr>
          <w:instrText xml:space="preserve"> PAGE   \* MERGEFORMAT </w:instrText>
        </w:r>
        <w:r>
          <w:rPr>
            <w:rFonts w:ascii="Times New Roman" w:eastAsia="宋体" w:hAnsi="Times New Roman" w:cs="Times New Roman"/>
            <w:sz w:val="16"/>
            <w:szCs w:val="16"/>
            <w:lang w:val="en-US" w:eastAsia="zh-CN"/>
          </w:rPr>
          <w:fldChar w:fldCharType="separate"/>
        </w:r>
        <w:r>
          <w:rPr>
            <w:rFonts w:ascii="Times New Roman" w:eastAsia="宋体" w:hAnsi="Times New Roman" w:cs="Times New Roman"/>
            <w:sz w:val="16"/>
            <w:szCs w:val="16"/>
            <w:lang w:val="en-US" w:eastAsia="zh-CN"/>
          </w:rPr>
          <w:t>1</w:t>
        </w:r>
        <w:r>
          <w:rPr>
            <w:rFonts w:ascii="Times New Roman" w:eastAsia="宋体" w:hAnsi="Times New Roman" w:cs="Times New Roman"/>
            <w:sz w:val="16"/>
            <w:szCs w:val="16"/>
            <w:lang w:val="en-US" w:eastAsia="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BD29" w14:textId="77777777" w:rsidR="00D30FAF" w:rsidRDefault="00D30FAF">
      <w:pPr>
        <w:spacing w:after="0"/>
      </w:pPr>
      <w:r>
        <w:separator/>
      </w:r>
    </w:p>
  </w:footnote>
  <w:footnote w:type="continuationSeparator" w:id="0">
    <w:p w14:paraId="01C97435" w14:textId="77777777" w:rsidR="00D30FAF" w:rsidRDefault="00D30F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7D0F" w14:textId="77777777" w:rsidR="00FF2923" w:rsidRDefault="00000000">
    <w:pPr>
      <w:pStyle w:val="a9"/>
      <w:adjustRightInd w:val="0"/>
      <w:snapToGrid w:val="0"/>
      <w:jc w:val="center"/>
      <w:rPr>
        <w:rFonts w:ascii="Times New Roman" w:hAnsi="Times New Roman"/>
        <w:sz w:val="16"/>
        <w:szCs w:val="16"/>
      </w:rPr>
    </w:pPr>
    <w:r>
      <w:rPr>
        <w:rFonts w:ascii="Times New Roman" w:hAnsi="Times New Roman"/>
        <w:bCs/>
        <w:i/>
        <w:iCs/>
        <w:sz w:val="16"/>
        <w:szCs w:val="16"/>
        <w:lang w:val="en-GB"/>
      </w:rPr>
      <w:t>Journal of Biological Regulators and Homeostatic Agents</w:t>
    </w:r>
    <w:r>
      <w:rPr>
        <w:rFonts w:ascii="Times New Roman" w:hAnsi="Times New Roman"/>
        <w:sz w:val="16"/>
        <w:szCs w:val="16"/>
      </w:rPr>
      <w:t xml:space="preserve"> </w:t>
    </w:r>
    <w:r>
      <w:rPr>
        <w:rFonts w:ascii="Times New Roman" w:eastAsiaTheme="minorEastAsia" w:hAnsi="Times New Roman" w:hint="eastAsia"/>
        <w:sz w:val="16"/>
        <w:szCs w:val="16"/>
        <w:lang w:eastAsia="zh-CN"/>
      </w:rPr>
      <w:t>2026</w:t>
    </w:r>
    <w:r>
      <w:rPr>
        <w:rFonts w:ascii="Times New Roman" w:hAnsi="Times New Roman"/>
        <w:sz w:val="16"/>
        <w:szCs w:val="16"/>
      </w:rPr>
      <w:t xml:space="preserve">, </w:t>
    </w:r>
    <w:r>
      <w:rPr>
        <w:rFonts w:ascii="Times New Roman" w:eastAsiaTheme="minorEastAsia" w:hAnsi="Times New Roman" w:hint="eastAsia"/>
        <w:sz w:val="16"/>
        <w:szCs w:val="16"/>
        <w:lang w:eastAsia="zh-CN"/>
      </w:rPr>
      <w:t>40</w:t>
    </w:r>
    <w:r>
      <w:rPr>
        <w:rFonts w:ascii="Times New Roman" w:hAnsi="Times New Roman"/>
        <w:sz w:val="16"/>
        <w:szCs w:val="16"/>
      </w:rPr>
      <w:t>(</w:t>
    </w:r>
    <w:r>
      <w:rPr>
        <w:rFonts w:ascii="Times New Roman" w:eastAsiaTheme="minorEastAsia" w:hAnsi="Times New Roman" w:hint="eastAsia"/>
        <w:sz w:val="16"/>
        <w:szCs w:val="16"/>
        <w:lang w:eastAsia="zh-CN"/>
      </w:rPr>
      <w:t>3</w:t>
    </w:r>
    <w:r>
      <w:rPr>
        <w:rFonts w:ascii="Times New Roman" w:hAnsi="Times New Roman"/>
        <w:sz w:val="16"/>
        <w:szCs w:val="16"/>
      </w:rPr>
      <w:t xml:space="preserve">), </w:t>
    </w:r>
    <w:r>
      <w:rPr>
        <w:rFonts w:ascii="Times New Roman" w:eastAsiaTheme="minorEastAsia" w:hAnsi="Times New Roman" w:hint="eastAsia"/>
        <w:sz w:val="16"/>
        <w:szCs w:val="16"/>
        <w:lang w:eastAsia="zh-CN"/>
      </w:rPr>
      <w:t>122</w:t>
    </w:r>
    <w:r>
      <w:rPr>
        <w:rFonts w:ascii="Times New Roman" w:hAnsi="Times New Roman"/>
        <w:sz w:val="16"/>
        <w:szCs w:val="16"/>
      </w:rPr>
      <w:t>.</w:t>
    </w:r>
  </w:p>
  <w:p w14:paraId="249B7BEC" w14:textId="77777777" w:rsidR="00FF2923" w:rsidRDefault="00FF2923">
    <w:pPr>
      <w:pStyle w:val="a9"/>
      <w:pBdr>
        <w:bottom w:val="single" w:sz="4" w:space="1" w:color="auto"/>
      </w:pBdr>
      <w:adjustRightInd w:val="0"/>
      <w:snapToGrid w:val="0"/>
      <w:spacing w:after="360" w:line="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F0D3" w14:textId="77777777" w:rsidR="00FF2923" w:rsidRDefault="00000000">
    <w:pPr>
      <w:pStyle w:val="a9"/>
      <w:adjustRightInd w:val="0"/>
      <w:snapToGrid w:val="0"/>
      <w:jc w:val="right"/>
      <w:rPr>
        <w:rFonts w:ascii="Times New Roman" w:hAnsi="Times New Roman"/>
        <w:sz w:val="16"/>
        <w:szCs w:val="16"/>
      </w:rPr>
    </w:pPr>
    <w:r>
      <w:rPr>
        <w:rFonts w:ascii="Times New Roman" w:hAnsi="Times New Roman"/>
        <w:bCs/>
        <w:i/>
        <w:iCs/>
        <w:noProof/>
        <w:sz w:val="16"/>
        <w:szCs w:val="16"/>
        <w:lang w:eastAsia="en-IN"/>
      </w:rPr>
      <w:drawing>
        <wp:anchor distT="0" distB="0" distL="114300" distR="114300" simplePos="0" relativeHeight="251659264" behindDoc="0" locked="0" layoutInCell="1" allowOverlap="1" wp14:anchorId="36130BB1" wp14:editId="13B45CE5">
          <wp:simplePos x="0" y="0"/>
          <wp:positionH relativeFrom="margin">
            <wp:align>left</wp:align>
          </wp:positionH>
          <wp:positionV relativeFrom="paragraph">
            <wp:posOffset>-210185</wp:posOffset>
          </wp:positionV>
          <wp:extent cx="1723390" cy="396240"/>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1723464" cy="396000"/>
                  </a:xfrm>
                  <a:prstGeom prst="rect">
                    <a:avLst/>
                  </a:prstGeom>
                </pic:spPr>
              </pic:pic>
            </a:graphicData>
          </a:graphic>
        </wp:anchor>
      </w:drawing>
    </w:r>
    <w:bookmarkStart w:id="20" w:name="OLE_LINK2"/>
    <w:r>
      <w:rPr>
        <w:rFonts w:ascii="Times New Roman" w:hAnsi="Times New Roman"/>
        <w:bCs/>
        <w:i/>
        <w:iCs/>
        <w:sz w:val="16"/>
        <w:szCs w:val="16"/>
        <w:lang w:val="en-US" w:eastAsia="zh-CN"/>
      </w:rPr>
      <w:t>Journal of Biological Regulators and Homeostatic Agents</w:t>
    </w:r>
    <w:bookmarkEnd w:id="20"/>
    <w:r>
      <w:rPr>
        <w:rFonts w:ascii="Times New Roman" w:hAnsi="Times New Roman"/>
        <w:sz w:val="16"/>
        <w:szCs w:val="16"/>
      </w:rPr>
      <w:t xml:space="preserve"> </w:t>
    </w:r>
    <w:r>
      <w:rPr>
        <w:rFonts w:ascii="Times New Roman" w:eastAsiaTheme="minorEastAsia" w:hAnsi="Times New Roman" w:hint="eastAsia"/>
        <w:sz w:val="16"/>
        <w:szCs w:val="16"/>
        <w:lang w:eastAsia="zh-CN"/>
      </w:rPr>
      <w:t>2026</w:t>
    </w:r>
    <w:r>
      <w:rPr>
        <w:rFonts w:ascii="Times New Roman" w:hAnsi="Times New Roman"/>
        <w:sz w:val="16"/>
        <w:szCs w:val="16"/>
      </w:rPr>
      <w:t xml:space="preserve">, </w:t>
    </w:r>
    <w:r>
      <w:rPr>
        <w:rFonts w:ascii="Times New Roman" w:eastAsiaTheme="minorEastAsia" w:hAnsi="Times New Roman" w:hint="eastAsia"/>
        <w:sz w:val="16"/>
        <w:szCs w:val="16"/>
        <w:lang w:eastAsia="zh-CN"/>
      </w:rPr>
      <w:t>40</w:t>
    </w:r>
    <w:r>
      <w:rPr>
        <w:rFonts w:ascii="Times New Roman" w:hAnsi="Times New Roman"/>
        <w:sz w:val="16"/>
        <w:szCs w:val="16"/>
      </w:rPr>
      <w:t>(</w:t>
    </w:r>
    <w:r>
      <w:rPr>
        <w:rFonts w:ascii="Times New Roman" w:eastAsiaTheme="minorEastAsia" w:hAnsi="Times New Roman" w:hint="eastAsia"/>
        <w:sz w:val="16"/>
        <w:szCs w:val="16"/>
        <w:lang w:eastAsia="zh-CN"/>
      </w:rPr>
      <w:t>3</w:t>
    </w:r>
    <w:r>
      <w:rPr>
        <w:rFonts w:ascii="Times New Roman" w:hAnsi="Times New Roman"/>
        <w:sz w:val="16"/>
        <w:szCs w:val="16"/>
      </w:rPr>
      <w:t xml:space="preserve">), </w:t>
    </w:r>
    <w:r>
      <w:rPr>
        <w:rFonts w:ascii="Times New Roman" w:eastAsiaTheme="minorEastAsia" w:hAnsi="Times New Roman" w:hint="eastAsia"/>
        <w:sz w:val="16"/>
        <w:szCs w:val="16"/>
        <w:lang w:eastAsia="zh-CN"/>
      </w:rPr>
      <w:t>122</w:t>
    </w:r>
    <w:r>
      <w:rPr>
        <w:rFonts w:ascii="Times New Roman" w:hAnsi="Times New Roman"/>
        <w:sz w:val="16"/>
        <w:szCs w:val="16"/>
      </w:rPr>
      <w:t xml:space="preserve">. </w:t>
    </w:r>
  </w:p>
  <w:p w14:paraId="435C9456" w14:textId="77777777" w:rsidR="00FF2923" w:rsidRDefault="00000000">
    <w:pPr>
      <w:pStyle w:val="a9"/>
      <w:jc w:val="right"/>
      <w:rPr>
        <w:rFonts w:ascii="Times New Roman" w:eastAsiaTheme="minorEastAsia" w:hAnsi="Times New Roman"/>
        <w:bCs/>
        <w:i/>
        <w:iCs/>
        <w:sz w:val="20"/>
        <w:szCs w:val="20"/>
        <w:lang w:eastAsia="zh-CN"/>
      </w:rPr>
    </w:pPr>
    <w:bookmarkStart w:id="21" w:name="_Hlk155861750"/>
    <w:bookmarkStart w:id="22" w:name="_Hlk155861751"/>
    <w:bookmarkStart w:id="23" w:name="_Hlk155861753"/>
    <w:bookmarkStart w:id="24" w:name="_Hlk155861752"/>
    <w:r>
      <w:rPr>
        <w:rFonts w:ascii="Times New Roman" w:hAnsi="Times New Roman"/>
        <w:sz w:val="16"/>
        <w:szCs w:val="16"/>
      </w:rPr>
      <w:t>https://doi.org/</w:t>
    </w:r>
    <w:r>
      <w:rPr>
        <w:rFonts w:ascii="Times New Roman" w:hAnsi="Times New Roman" w:hint="eastAsia"/>
        <w:sz w:val="16"/>
        <w:szCs w:val="16"/>
        <w:lang w:eastAsia="zh-CN"/>
      </w:rPr>
      <w:t>10.</w:t>
    </w:r>
    <w:r>
      <w:rPr>
        <w:rFonts w:ascii="Times New Roman" w:eastAsiaTheme="minorEastAsia" w:hAnsi="Times New Roman" w:hint="eastAsia"/>
        <w:sz w:val="16"/>
        <w:szCs w:val="16"/>
        <w:lang w:eastAsia="zh-CN"/>
      </w:rPr>
      <w:t>65746</w:t>
    </w:r>
    <w:r>
      <w:rPr>
        <w:rFonts w:ascii="Times New Roman" w:hAnsi="Times New Roman"/>
        <w:sz w:val="16"/>
        <w:szCs w:val="16"/>
      </w:rPr>
      <w:t>/</w:t>
    </w:r>
    <w:bookmarkEnd w:id="21"/>
    <w:bookmarkEnd w:id="22"/>
    <w:bookmarkEnd w:id="23"/>
    <w:bookmarkEnd w:id="24"/>
    <w:r>
      <w:rPr>
        <w:rFonts w:ascii="Times New Roman" w:eastAsiaTheme="minorEastAsia" w:hAnsi="Times New Roman" w:hint="eastAsia"/>
        <w:sz w:val="16"/>
        <w:szCs w:val="16"/>
        <w:lang w:eastAsia="zh-CN"/>
      </w:rPr>
      <w:t>jbrha122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23F3D"/>
    <w:multiLevelType w:val="multilevel"/>
    <w:tmpl w:val="1C423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C2E64A0"/>
    <w:multiLevelType w:val="multilevel"/>
    <w:tmpl w:val="3C2E6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1037668">
    <w:abstractNumId w:val="0"/>
  </w:num>
  <w:num w:numId="2" w16cid:durableId="1433091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E6"/>
    <w:rsid w:val="000013F4"/>
    <w:rsid w:val="00001DFB"/>
    <w:rsid w:val="00002A87"/>
    <w:rsid w:val="00002CE8"/>
    <w:rsid w:val="00003DB4"/>
    <w:rsid w:val="00004605"/>
    <w:rsid w:val="0000507D"/>
    <w:rsid w:val="00005325"/>
    <w:rsid w:val="00005EB0"/>
    <w:rsid w:val="0000706F"/>
    <w:rsid w:val="00007F04"/>
    <w:rsid w:val="000132A6"/>
    <w:rsid w:val="00013A48"/>
    <w:rsid w:val="000142C1"/>
    <w:rsid w:val="00014C30"/>
    <w:rsid w:val="00015DA9"/>
    <w:rsid w:val="00017073"/>
    <w:rsid w:val="00023C31"/>
    <w:rsid w:val="00024E4B"/>
    <w:rsid w:val="000269BF"/>
    <w:rsid w:val="0003094F"/>
    <w:rsid w:val="00031B61"/>
    <w:rsid w:val="0003429D"/>
    <w:rsid w:val="00036649"/>
    <w:rsid w:val="0004167D"/>
    <w:rsid w:val="00042736"/>
    <w:rsid w:val="00045277"/>
    <w:rsid w:val="000502C5"/>
    <w:rsid w:val="0005157C"/>
    <w:rsid w:val="00051850"/>
    <w:rsid w:val="00052554"/>
    <w:rsid w:val="00053CFB"/>
    <w:rsid w:val="00054C11"/>
    <w:rsid w:val="00054F51"/>
    <w:rsid w:val="00062EFF"/>
    <w:rsid w:val="00070377"/>
    <w:rsid w:val="00070E54"/>
    <w:rsid w:val="00071708"/>
    <w:rsid w:val="00072223"/>
    <w:rsid w:val="00073003"/>
    <w:rsid w:val="000744E8"/>
    <w:rsid w:val="00075D78"/>
    <w:rsid w:val="0008121F"/>
    <w:rsid w:val="000843FE"/>
    <w:rsid w:val="00090DD5"/>
    <w:rsid w:val="00091437"/>
    <w:rsid w:val="000947E4"/>
    <w:rsid w:val="00095DF2"/>
    <w:rsid w:val="00097445"/>
    <w:rsid w:val="000976AF"/>
    <w:rsid w:val="00097B0F"/>
    <w:rsid w:val="000A05E7"/>
    <w:rsid w:val="000A0B7C"/>
    <w:rsid w:val="000A0D8B"/>
    <w:rsid w:val="000A3324"/>
    <w:rsid w:val="000A3A0D"/>
    <w:rsid w:val="000A6D12"/>
    <w:rsid w:val="000B0B06"/>
    <w:rsid w:val="000B20C2"/>
    <w:rsid w:val="000B5240"/>
    <w:rsid w:val="000B621F"/>
    <w:rsid w:val="000C6033"/>
    <w:rsid w:val="000C6FE9"/>
    <w:rsid w:val="000C7D26"/>
    <w:rsid w:val="000D041F"/>
    <w:rsid w:val="000D2A53"/>
    <w:rsid w:val="000D6724"/>
    <w:rsid w:val="000E0C4D"/>
    <w:rsid w:val="000E1892"/>
    <w:rsid w:val="000E3292"/>
    <w:rsid w:val="000E3A12"/>
    <w:rsid w:val="000E516A"/>
    <w:rsid w:val="000E634C"/>
    <w:rsid w:val="000E78D3"/>
    <w:rsid w:val="000F0B07"/>
    <w:rsid w:val="000F344F"/>
    <w:rsid w:val="000F3BE2"/>
    <w:rsid w:val="000F3DFE"/>
    <w:rsid w:val="000F6663"/>
    <w:rsid w:val="00100EE4"/>
    <w:rsid w:val="0010154B"/>
    <w:rsid w:val="00102867"/>
    <w:rsid w:val="00107813"/>
    <w:rsid w:val="001103FB"/>
    <w:rsid w:val="0011497C"/>
    <w:rsid w:val="00114D04"/>
    <w:rsid w:val="00114E02"/>
    <w:rsid w:val="001206B3"/>
    <w:rsid w:val="00122445"/>
    <w:rsid w:val="00125E57"/>
    <w:rsid w:val="0012767A"/>
    <w:rsid w:val="00127C92"/>
    <w:rsid w:val="0013506B"/>
    <w:rsid w:val="00135998"/>
    <w:rsid w:val="00137903"/>
    <w:rsid w:val="00137B5D"/>
    <w:rsid w:val="00141424"/>
    <w:rsid w:val="0014330D"/>
    <w:rsid w:val="00150576"/>
    <w:rsid w:val="001543A8"/>
    <w:rsid w:val="00154BCA"/>
    <w:rsid w:val="00155E90"/>
    <w:rsid w:val="0015681D"/>
    <w:rsid w:val="00156FD6"/>
    <w:rsid w:val="00157108"/>
    <w:rsid w:val="00160747"/>
    <w:rsid w:val="00161C22"/>
    <w:rsid w:val="001673FC"/>
    <w:rsid w:val="001677D3"/>
    <w:rsid w:val="00170F0C"/>
    <w:rsid w:val="00171F97"/>
    <w:rsid w:val="0017240F"/>
    <w:rsid w:val="00177096"/>
    <w:rsid w:val="00180520"/>
    <w:rsid w:val="00180932"/>
    <w:rsid w:val="0018140D"/>
    <w:rsid w:val="00182020"/>
    <w:rsid w:val="00182D92"/>
    <w:rsid w:val="00187AD5"/>
    <w:rsid w:val="001903F4"/>
    <w:rsid w:val="00191C7D"/>
    <w:rsid w:val="00195BE5"/>
    <w:rsid w:val="001A0102"/>
    <w:rsid w:val="001A3716"/>
    <w:rsid w:val="001A565B"/>
    <w:rsid w:val="001A5BA2"/>
    <w:rsid w:val="001A6BEF"/>
    <w:rsid w:val="001B0D0E"/>
    <w:rsid w:val="001B129A"/>
    <w:rsid w:val="001B1796"/>
    <w:rsid w:val="001B5832"/>
    <w:rsid w:val="001C03F4"/>
    <w:rsid w:val="001C1324"/>
    <w:rsid w:val="001C1659"/>
    <w:rsid w:val="001C188C"/>
    <w:rsid w:val="001C22ED"/>
    <w:rsid w:val="001C2718"/>
    <w:rsid w:val="001C38FA"/>
    <w:rsid w:val="001C410C"/>
    <w:rsid w:val="001C6361"/>
    <w:rsid w:val="001C7B6C"/>
    <w:rsid w:val="001D02B8"/>
    <w:rsid w:val="001D0318"/>
    <w:rsid w:val="001D0E44"/>
    <w:rsid w:val="001D29CB"/>
    <w:rsid w:val="001D3F9A"/>
    <w:rsid w:val="001D599C"/>
    <w:rsid w:val="001E337D"/>
    <w:rsid w:val="001E36DB"/>
    <w:rsid w:val="001E50B5"/>
    <w:rsid w:val="001F0395"/>
    <w:rsid w:val="001F0B4E"/>
    <w:rsid w:val="001F0D2B"/>
    <w:rsid w:val="001F13B8"/>
    <w:rsid w:val="001F3421"/>
    <w:rsid w:val="001F624D"/>
    <w:rsid w:val="00201345"/>
    <w:rsid w:val="002014B1"/>
    <w:rsid w:val="002037A6"/>
    <w:rsid w:val="002039DB"/>
    <w:rsid w:val="00207D6F"/>
    <w:rsid w:val="002137D9"/>
    <w:rsid w:val="00213A22"/>
    <w:rsid w:val="002140D2"/>
    <w:rsid w:val="00215FCC"/>
    <w:rsid w:val="00223274"/>
    <w:rsid w:val="002264AB"/>
    <w:rsid w:val="002264DB"/>
    <w:rsid w:val="00232EF5"/>
    <w:rsid w:val="0023347B"/>
    <w:rsid w:val="00233B7F"/>
    <w:rsid w:val="00234624"/>
    <w:rsid w:val="00242D76"/>
    <w:rsid w:val="00252E3B"/>
    <w:rsid w:val="00253342"/>
    <w:rsid w:val="0025788B"/>
    <w:rsid w:val="002603BC"/>
    <w:rsid w:val="002622EB"/>
    <w:rsid w:val="00262965"/>
    <w:rsid w:val="002637D5"/>
    <w:rsid w:val="00263E8E"/>
    <w:rsid w:val="0026475B"/>
    <w:rsid w:val="00266569"/>
    <w:rsid w:val="00267116"/>
    <w:rsid w:val="00270801"/>
    <w:rsid w:val="00270B24"/>
    <w:rsid w:val="0027128D"/>
    <w:rsid w:val="00272D59"/>
    <w:rsid w:val="00273381"/>
    <w:rsid w:val="00273B34"/>
    <w:rsid w:val="00275B80"/>
    <w:rsid w:val="0028405F"/>
    <w:rsid w:val="00285C8F"/>
    <w:rsid w:val="00291B87"/>
    <w:rsid w:val="002922E4"/>
    <w:rsid w:val="002935A9"/>
    <w:rsid w:val="0029384A"/>
    <w:rsid w:val="002956C1"/>
    <w:rsid w:val="00296488"/>
    <w:rsid w:val="002972FD"/>
    <w:rsid w:val="00297946"/>
    <w:rsid w:val="002A0627"/>
    <w:rsid w:val="002A0A49"/>
    <w:rsid w:val="002A0ACC"/>
    <w:rsid w:val="002A3A34"/>
    <w:rsid w:val="002A6926"/>
    <w:rsid w:val="002A77CB"/>
    <w:rsid w:val="002A7AB4"/>
    <w:rsid w:val="002B01DA"/>
    <w:rsid w:val="002B1CE5"/>
    <w:rsid w:val="002B48E2"/>
    <w:rsid w:val="002B77B0"/>
    <w:rsid w:val="002B7946"/>
    <w:rsid w:val="002C013B"/>
    <w:rsid w:val="002C12F8"/>
    <w:rsid w:val="002C1FDD"/>
    <w:rsid w:val="002C66F3"/>
    <w:rsid w:val="002C7F98"/>
    <w:rsid w:val="002D188B"/>
    <w:rsid w:val="002D3EA8"/>
    <w:rsid w:val="002D57FA"/>
    <w:rsid w:val="002D6776"/>
    <w:rsid w:val="002D728B"/>
    <w:rsid w:val="002D7F7A"/>
    <w:rsid w:val="002E1B6A"/>
    <w:rsid w:val="002E1CA0"/>
    <w:rsid w:val="002E2DB7"/>
    <w:rsid w:val="002E3308"/>
    <w:rsid w:val="002E37F8"/>
    <w:rsid w:val="002E4A01"/>
    <w:rsid w:val="002F05DB"/>
    <w:rsid w:val="002F1AB3"/>
    <w:rsid w:val="002F2176"/>
    <w:rsid w:val="002F22A6"/>
    <w:rsid w:val="002F297D"/>
    <w:rsid w:val="002F343C"/>
    <w:rsid w:val="002F6534"/>
    <w:rsid w:val="002F6FEC"/>
    <w:rsid w:val="00305701"/>
    <w:rsid w:val="00307119"/>
    <w:rsid w:val="003076BF"/>
    <w:rsid w:val="00310C14"/>
    <w:rsid w:val="00310F51"/>
    <w:rsid w:val="00311E0B"/>
    <w:rsid w:val="00314C35"/>
    <w:rsid w:val="00316532"/>
    <w:rsid w:val="00320C9D"/>
    <w:rsid w:val="00321805"/>
    <w:rsid w:val="00322111"/>
    <w:rsid w:val="00322BB7"/>
    <w:rsid w:val="00322F9E"/>
    <w:rsid w:val="00324A02"/>
    <w:rsid w:val="003252E5"/>
    <w:rsid w:val="0032571A"/>
    <w:rsid w:val="003268BE"/>
    <w:rsid w:val="0032728E"/>
    <w:rsid w:val="00327B74"/>
    <w:rsid w:val="00330582"/>
    <w:rsid w:val="0033223E"/>
    <w:rsid w:val="00333861"/>
    <w:rsid w:val="00335042"/>
    <w:rsid w:val="00340A8D"/>
    <w:rsid w:val="00341D57"/>
    <w:rsid w:val="00342BDD"/>
    <w:rsid w:val="00346014"/>
    <w:rsid w:val="00346E83"/>
    <w:rsid w:val="003501F9"/>
    <w:rsid w:val="003503EC"/>
    <w:rsid w:val="0035081B"/>
    <w:rsid w:val="00351B65"/>
    <w:rsid w:val="003525F6"/>
    <w:rsid w:val="003529AF"/>
    <w:rsid w:val="00355509"/>
    <w:rsid w:val="00362E59"/>
    <w:rsid w:val="0036669D"/>
    <w:rsid w:val="0036761F"/>
    <w:rsid w:val="0037008B"/>
    <w:rsid w:val="00370305"/>
    <w:rsid w:val="00371242"/>
    <w:rsid w:val="00371845"/>
    <w:rsid w:val="0037382F"/>
    <w:rsid w:val="00375B09"/>
    <w:rsid w:val="003766A0"/>
    <w:rsid w:val="00377B42"/>
    <w:rsid w:val="00377CFE"/>
    <w:rsid w:val="00382059"/>
    <w:rsid w:val="00383F1F"/>
    <w:rsid w:val="003845E6"/>
    <w:rsid w:val="0038466F"/>
    <w:rsid w:val="00390419"/>
    <w:rsid w:val="0039398D"/>
    <w:rsid w:val="00393EBF"/>
    <w:rsid w:val="003953B3"/>
    <w:rsid w:val="00397E97"/>
    <w:rsid w:val="003A0DBB"/>
    <w:rsid w:val="003A1E2E"/>
    <w:rsid w:val="003A4C67"/>
    <w:rsid w:val="003A76E5"/>
    <w:rsid w:val="003B1019"/>
    <w:rsid w:val="003B274A"/>
    <w:rsid w:val="003B4E7E"/>
    <w:rsid w:val="003C11D4"/>
    <w:rsid w:val="003C12C1"/>
    <w:rsid w:val="003C17D8"/>
    <w:rsid w:val="003C2050"/>
    <w:rsid w:val="003C2780"/>
    <w:rsid w:val="003C3F14"/>
    <w:rsid w:val="003C5B04"/>
    <w:rsid w:val="003C7229"/>
    <w:rsid w:val="003C7C29"/>
    <w:rsid w:val="003D1AC6"/>
    <w:rsid w:val="003D2370"/>
    <w:rsid w:val="003D40C3"/>
    <w:rsid w:val="003D4127"/>
    <w:rsid w:val="003D41EC"/>
    <w:rsid w:val="003D4291"/>
    <w:rsid w:val="003D66E9"/>
    <w:rsid w:val="003D7D27"/>
    <w:rsid w:val="003E1578"/>
    <w:rsid w:val="003E6058"/>
    <w:rsid w:val="003E64E6"/>
    <w:rsid w:val="003F0676"/>
    <w:rsid w:val="003F1A80"/>
    <w:rsid w:val="003F602F"/>
    <w:rsid w:val="003F78BD"/>
    <w:rsid w:val="00400A6B"/>
    <w:rsid w:val="004013BC"/>
    <w:rsid w:val="00402AD8"/>
    <w:rsid w:val="004039E1"/>
    <w:rsid w:val="00403DDD"/>
    <w:rsid w:val="00404889"/>
    <w:rsid w:val="00405185"/>
    <w:rsid w:val="00405CDF"/>
    <w:rsid w:val="00405DE6"/>
    <w:rsid w:val="00407F98"/>
    <w:rsid w:val="00410387"/>
    <w:rsid w:val="00411937"/>
    <w:rsid w:val="00413DFD"/>
    <w:rsid w:val="00415505"/>
    <w:rsid w:val="00417496"/>
    <w:rsid w:val="004200B1"/>
    <w:rsid w:val="00422A8A"/>
    <w:rsid w:val="00422DE8"/>
    <w:rsid w:val="00424D8A"/>
    <w:rsid w:val="004253BF"/>
    <w:rsid w:val="00425A52"/>
    <w:rsid w:val="00425BE3"/>
    <w:rsid w:val="00426C7F"/>
    <w:rsid w:val="00434E8F"/>
    <w:rsid w:val="00434FDB"/>
    <w:rsid w:val="0043772E"/>
    <w:rsid w:val="00443A02"/>
    <w:rsid w:val="00443EBE"/>
    <w:rsid w:val="00450C64"/>
    <w:rsid w:val="004607B4"/>
    <w:rsid w:val="00462201"/>
    <w:rsid w:val="00462517"/>
    <w:rsid w:val="00463132"/>
    <w:rsid w:val="00463FAE"/>
    <w:rsid w:val="0046726F"/>
    <w:rsid w:val="00467AE7"/>
    <w:rsid w:val="004732D4"/>
    <w:rsid w:val="00473947"/>
    <w:rsid w:val="00473F30"/>
    <w:rsid w:val="00477ED4"/>
    <w:rsid w:val="00480424"/>
    <w:rsid w:val="00483203"/>
    <w:rsid w:val="00483EE1"/>
    <w:rsid w:val="00485A13"/>
    <w:rsid w:val="00486800"/>
    <w:rsid w:val="00486BE1"/>
    <w:rsid w:val="004870B0"/>
    <w:rsid w:val="00491108"/>
    <w:rsid w:val="00491351"/>
    <w:rsid w:val="00493A21"/>
    <w:rsid w:val="004968BA"/>
    <w:rsid w:val="004A09C8"/>
    <w:rsid w:val="004A4278"/>
    <w:rsid w:val="004A4817"/>
    <w:rsid w:val="004A58E1"/>
    <w:rsid w:val="004A72C0"/>
    <w:rsid w:val="004B1294"/>
    <w:rsid w:val="004B189F"/>
    <w:rsid w:val="004B2C52"/>
    <w:rsid w:val="004B54E0"/>
    <w:rsid w:val="004B7222"/>
    <w:rsid w:val="004D62A2"/>
    <w:rsid w:val="004D7590"/>
    <w:rsid w:val="004E09D7"/>
    <w:rsid w:val="004E2984"/>
    <w:rsid w:val="004E3918"/>
    <w:rsid w:val="004E42C6"/>
    <w:rsid w:val="004E762F"/>
    <w:rsid w:val="004E76C1"/>
    <w:rsid w:val="004E76C2"/>
    <w:rsid w:val="004F0488"/>
    <w:rsid w:val="004F157B"/>
    <w:rsid w:val="004F2324"/>
    <w:rsid w:val="004F49D2"/>
    <w:rsid w:val="004F49E8"/>
    <w:rsid w:val="004F6101"/>
    <w:rsid w:val="004F69E4"/>
    <w:rsid w:val="004F73E8"/>
    <w:rsid w:val="005004BD"/>
    <w:rsid w:val="005017F4"/>
    <w:rsid w:val="00501F91"/>
    <w:rsid w:val="00502340"/>
    <w:rsid w:val="0050274B"/>
    <w:rsid w:val="00502CD2"/>
    <w:rsid w:val="005032C5"/>
    <w:rsid w:val="00503868"/>
    <w:rsid w:val="00504340"/>
    <w:rsid w:val="00505794"/>
    <w:rsid w:val="005119F9"/>
    <w:rsid w:val="00513343"/>
    <w:rsid w:val="005147AA"/>
    <w:rsid w:val="00517805"/>
    <w:rsid w:val="005203E1"/>
    <w:rsid w:val="005209D0"/>
    <w:rsid w:val="0052143D"/>
    <w:rsid w:val="00522583"/>
    <w:rsid w:val="00525C88"/>
    <w:rsid w:val="005271B8"/>
    <w:rsid w:val="0052762F"/>
    <w:rsid w:val="00527BD5"/>
    <w:rsid w:val="005303A1"/>
    <w:rsid w:val="00530CCB"/>
    <w:rsid w:val="00533A8C"/>
    <w:rsid w:val="0053447B"/>
    <w:rsid w:val="005372D2"/>
    <w:rsid w:val="00540922"/>
    <w:rsid w:val="00542E4D"/>
    <w:rsid w:val="0054630E"/>
    <w:rsid w:val="00551810"/>
    <w:rsid w:val="00552805"/>
    <w:rsid w:val="00555ECC"/>
    <w:rsid w:val="00557984"/>
    <w:rsid w:val="0056200F"/>
    <w:rsid w:val="005620B6"/>
    <w:rsid w:val="00562652"/>
    <w:rsid w:val="005629EB"/>
    <w:rsid w:val="005652BB"/>
    <w:rsid w:val="00570FA5"/>
    <w:rsid w:val="0057142B"/>
    <w:rsid w:val="00571781"/>
    <w:rsid w:val="00572131"/>
    <w:rsid w:val="00572739"/>
    <w:rsid w:val="00573B92"/>
    <w:rsid w:val="00577D0A"/>
    <w:rsid w:val="00577EFA"/>
    <w:rsid w:val="005822CF"/>
    <w:rsid w:val="00582668"/>
    <w:rsid w:val="00585A3B"/>
    <w:rsid w:val="00587509"/>
    <w:rsid w:val="00587FFB"/>
    <w:rsid w:val="00590018"/>
    <w:rsid w:val="0059250D"/>
    <w:rsid w:val="0059269B"/>
    <w:rsid w:val="00592CD0"/>
    <w:rsid w:val="0059312E"/>
    <w:rsid w:val="00596B71"/>
    <w:rsid w:val="00596F5D"/>
    <w:rsid w:val="00597D9F"/>
    <w:rsid w:val="005A0CBF"/>
    <w:rsid w:val="005A0F11"/>
    <w:rsid w:val="005A386D"/>
    <w:rsid w:val="005A5320"/>
    <w:rsid w:val="005A59B9"/>
    <w:rsid w:val="005A6A39"/>
    <w:rsid w:val="005A6CE6"/>
    <w:rsid w:val="005A76DE"/>
    <w:rsid w:val="005A77E3"/>
    <w:rsid w:val="005B0C20"/>
    <w:rsid w:val="005B645F"/>
    <w:rsid w:val="005B6AB8"/>
    <w:rsid w:val="005C1B09"/>
    <w:rsid w:val="005C2703"/>
    <w:rsid w:val="005C32F0"/>
    <w:rsid w:val="005D1213"/>
    <w:rsid w:val="005D2904"/>
    <w:rsid w:val="005D484A"/>
    <w:rsid w:val="005E14AF"/>
    <w:rsid w:val="005E1692"/>
    <w:rsid w:val="005E2CEA"/>
    <w:rsid w:val="005E59C7"/>
    <w:rsid w:val="005E666A"/>
    <w:rsid w:val="005F0357"/>
    <w:rsid w:val="005F15FB"/>
    <w:rsid w:val="005F285B"/>
    <w:rsid w:val="005F6398"/>
    <w:rsid w:val="005F6C3F"/>
    <w:rsid w:val="00602C01"/>
    <w:rsid w:val="00603C6E"/>
    <w:rsid w:val="006044C4"/>
    <w:rsid w:val="00607804"/>
    <w:rsid w:val="006105E8"/>
    <w:rsid w:val="00610A37"/>
    <w:rsid w:val="00611F5E"/>
    <w:rsid w:val="00615B2E"/>
    <w:rsid w:val="00617EF8"/>
    <w:rsid w:val="00620EE0"/>
    <w:rsid w:val="00621B56"/>
    <w:rsid w:val="00623EBC"/>
    <w:rsid w:val="00624A67"/>
    <w:rsid w:val="006251F4"/>
    <w:rsid w:val="006255DA"/>
    <w:rsid w:val="0062607A"/>
    <w:rsid w:val="00627548"/>
    <w:rsid w:val="00627CF0"/>
    <w:rsid w:val="00632139"/>
    <w:rsid w:val="00633DD5"/>
    <w:rsid w:val="00634B8D"/>
    <w:rsid w:val="0063517B"/>
    <w:rsid w:val="006361FB"/>
    <w:rsid w:val="006368E3"/>
    <w:rsid w:val="00636A88"/>
    <w:rsid w:val="006472FC"/>
    <w:rsid w:val="0065241C"/>
    <w:rsid w:val="006541A7"/>
    <w:rsid w:val="00655B36"/>
    <w:rsid w:val="0066047B"/>
    <w:rsid w:val="006628C6"/>
    <w:rsid w:val="00664BB9"/>
    <w:rsid w:val="00665225"/>
    <w:rsid w:val="0066786F"/>
    <w:rsid w:val="00667966"/>
    <w:rsid w:val="006679F0"/>
    <w:rsid w:val="00670A6B"/>
    <w:rsid w:val="0067534C"/>
    <w:rsid w:val="00675444"/>
    <w:rsid w:val="006772F8"/>
    <w:rsid w:val="0068015A"/>
    <w:rsid w:val="006825E0"/>
    <w:rsid w:val="0068720B"/>
    <w:rsid w:val="006905E1"/>
    <w:rsid w:val="00690C4B"/>
    <w:rsid w:val="00691DE2"/>
    <w:rsid w:val="00692864"/>
    <w:rsid w:val="0069506C"/>
    <w:rsid w:val="006954C7"/>
    <w:rsid w:val="00696C10"/>
    <w:rsid w:val="006A30F5"/>
    <w:rsid w:val="006A38ED"/>
    <w:rsid w:val="006A396D"/>
    <w:rsid w:val="006A465C"/>
    <w:rsid w:val="006A6898"/>
    <w:rsid w:val="006B1001"/>
    <w:rsid w:val="006B3F76"/>
    <w:rsid w:val="006B4E59"/>
    <w:rsid w:val="006B65D7"/>
    <w:rsid w:val="006B7734"/>
    <w:rsid w:val="006B7FC5"/>
    <w:rsid w:val="006C079E"/>
    <w:rsid w:val="006C1384"/>
    <w:rsid w:val="006C361F"/>
    <w:rsid w:val="006C4584"/>
    <w:rsid w:val="006D4754"/>
    <w:rsid w:val="006D6AF8"/>
    <w:rsid w:val="006D7193"/>
    <w:rsid w:val="006E008E"/>
    <w:rsid w:val="006E01CF"/>
    <w:rsid w:val="006E05FC"/>
    <w:rsid w:val="006E6742"/>
    <w:rsid w:val="006F2328"/>
    <w:rsid w:val="006F5D6B"/>
    <w:rsid w:val="006F6305"/>
    <w:rsid w:val="006F753F"/>
    <w:rsid w:val="006F7C39"/>
    <w:rsid w:val="0070109E"/>
    <w:rsid w:val="00702B38"/>
    <w:rsid w:val="00704762"/>
    <w:rsid w:val="00705DE2"/>
    <w:rsid w:val="00705E5E"/>
    <w:rsid w:val="00712563"/>
    <w:rsid w:val="0071316E"/>
    <w:rsid w:val="00713370"/>
    <w:rsid w:val="00714BC9"/>
    <w:rsid w:val="00714DFC"/>
    <w:rsid w:val="00722F44"/>
    <w:rsid w:val="0072451B"/>
    <w:rsid w:val="007252E2"/>
    <w:rsid w:val="00726A88"/>
    <w:rsid w:val="00730068"/>
    <w:rsid w:val="00731398"/>
    <w:rsid w:val="007348B7"/>
    <w:rsid w:val="00735CCC"/>
    <w:rsid w:val="00735EFE"/>
    <w:rsid w:val="00735F08"/>
    <w:rsid w:val="00736493"/>
    <w:rsid w:val="00740CBA"/>
    <w:rsid w:val="00742018"/>
    <w:rsid w:val="007434E7"/>
    <w:rsid w:val="0074404F"/>
    <w:rsid w:val="007463D4"/>
    <w:rsid w:val="00746B22"/>
    <w:rsid w:val="00747023"/>
    <w:rsid w:val="00747E98"/>
    <w:rsid w:val="00753654"/>
    <w:rsid w:val="007545D3"/>
    <w:rsid w:val="00754DC4"/>
    <w:rsid w:val="00756239"/>
    <w:rsid w:val="00757804"/>
    <w:rsid w:val="00757B11"/>
    <w:rsid w:val="00760A89"/>
    <w:rsid w:val="0076350E"/>
    <w:rsid w:val="00764624"/>
    <w:rsid w:val="007656BB"/>
    <w:rsid w:val="00765899"/>
    <w:rsid w:val="007665AB"/>
    <w:rsid w:val="00767527"/>
    <w:rsid w:val="00767A06"/>
    <w:rsid w:val="00767C11"/>
    <w:rsid w:val="007704EA"/>
    <w:rsid w:val="007727BD"/>
    <w:rsid w:val="0077520F"/>
    <w:rsid w:val="00775E5B"/>
    <w:rsid w:val="007804EE"/>
    <w:rsid w:val="0078209D"/>
    <w:rsid w:val="007830FB"/>
    <w:rsid w:val="007838FA"/>
    <w:rsid w:val="00784EA7"/>
    <w:rsid w:val="00785A47"/>
    <w:rsid w:val="00791646"/>
    <w:rsid w:val="007925E7"/>
    <w:rsid w:val="007936A0"/>
    <w:rsid w:val="00796096"/>
    <w:rsid w:val="00797553"/>
    <w:rsid w:val="00797C87"/>
    <w:rsid w:val="00797F1D"/>
    <w:rsid w:val="007A050B"/>
    <w:rsid w:val="007A1274"/>
    <w:rsid w:val="007A4F5E"/>
    <w:rsid w:val="007A5E74"/>
    <w:rsid w:val="007B210F"/>
    <w:rsid w:val="007B21C8"/>
    <w:rsid w:val="007B340B"/>
    <w:rsid w:val="007B7613"/>
    <w:rsid w:val="007C35DD"/>
    <w:rsid w:val="007C504F"/>
    <w:rsid w:val="007C6A75"/>
    <w:rsid w:val="007C798D"/>
    <w:rsid w:val="007D034B"/>
    <w:rsid w:val="007D145D"/>
    <w:rsid w:val="007D1CAA"/>
    <w:rsid w:val="007D24F1"/>
    <w:rsid w:val="007D32CE"/>
    <w:rsid w:val="007D50FE"/>
    <w:rsid w:val="007D5B7D"/>
    <w:rsid w:val="007D669A"/>
    <w:rsid w:val="007E5A2F"/>
    <w:rsid w:val="007F07CE"/>
    <w:rsid w:val="007F157F"/>
    <w:rsid w:val="007F3D7F"/>
    <w:rsid w:val="007F70E3"/>
    <w:rsid w:val="00800E35"/>
    <w:rsid w:val="00804F98"/>
    <w:rsid w:val="008065C8"/>
    <w:rsid w:val="008071F2"/>
    <w:rsid w:val="008077F6"/>
    <w:rsid w:val="00810FC5"/>
    <w:rsid w:val="008121FD"/>
    <w:rsid w:val="0081233B"/>
    <w:rsid w:val="008135B9"/>
    <w:rsid w:val="00814A18"/>
    <w:rsid w:val="0081748C"/>
    <w:rsid w:val="008208E5"/>
    <w:rsid w:val="008236DC"/>
    <w:rsid w:val="00825B6A"/>
    <w:rsid w:val="008260CD"/>
    <w:rsid w:val="00834C24"/>
    <w:rsid w:val="00835454"/>
    <w:rsid w:val="00835AF4"/>
    <w:rsid w:val="00837C54"/>
    <w:rsid w:val="00844FED"/>
    <w:rsid w:val="00845EDC"/>
    <w:rsid w:val="00846F5C"/>
    <w:rsid w:val="008478EE"/>
    <w:rsid w:val="00851C22"/>
    <w:rsid w:val="00862A50"/>
    <w:rsid w:val="00862C38"/>
    <w:rsid w:val="0086579B"/>
    <w:rsid w:val="008667D5"/>
    <w:rsid w:val="00866F9F"/>
    <w:rsid w:val="00867028"/>
    <w:rsid w:val="0087011B"/>
    <w:rsid w:val="008710C8"/>
    <w:rsid w:val="008719C5"/>
    <w:rsid w:val="00872619"/>
    <w:rsid w:val="008744A0"/>
    <w:rsid w:val="00874682"/>
    <w:rsid w:val="008760BA"/>
    <w:rsid w:val="00876291"/>
    <w:rsid w:val="00880B76"/>
    <w:rsid w:val="00880CCC"/>
    <w:rsid w:val="00884A77"/>
    <w:rsid w:val="00891DB0"/>
    <w:rsid w:val="00892B88"/>
    <w:rsid w:val="0089574E"/>
    <w:rsid w:val="00896DD3"/>
    <w:rsid w:val="0089765C"/>
    <w:rsid w:val="008A1086"/>
    <w:rsid w:val="008A2291"/>
    <w:rsid w:val="008A2DB3"/>
    <w:rsid w:val="008A53B2"/>
    <w:rsid w:val="008A71CD"/>
    <w:rsid w:val="008A77EE"/>
    <w:rsid w:val="008A7827"/>
    <w:rsid w:val="008B053D"/>
    <w:rsid w:val="008B2351"/>
    <w:rsid w:val="008B6305"/>
    <w:rsid w:val="008B754D"/>
    <w:rsid w:val="008C26D6"/>
    <w:rsid w:val="008C5AA7"/>
    <w:rsid w:val="008C5B86"/>
    <w:rsid w:val="008C6D38"/>
    <w:rsid w:val="008C736D"/>
    <w:rsid w:val="008C79AE"/>
    <w:rsid w:val="008D0137"/>
    <w:rsid w:val="008D1E22"/>
    <w:rsid w:val="008D29E1"/>
    <w:rsid w:val="008D4570"/>
    <w:rsid w:val="008D5280"/>
    <w:rsid w:val="008D5852"/>
    <w:rsid w:val="008D5A41"/>
    <w:rsid w:val="008E06A4"/>
    <w:rsid w:val="008E5DBC"/>
    <w:rsid w:val="008E7692"/>
    <w:rsid w:val="008F31CA"/>
    <w:rsid w:val="008F6746"/>
    <w:rsid w:val="0090313F"/>
    <w:rsid w:val="00904D14"/>
    <w:rsid w:val="00904F9F"/>
    <w:rsid w:val="00910B03"/>
    <w:rsid w:val="00912110"/>
    <w:rsid w:val="00913B23"/>
    <w:rsid w:val="00914168"/>
    <w:rsid w:val="009146BC"/>
    <w:rsid w:val="00916379"/>
    <w:rsid w:val="00916577"/>
    <w:rsid w:val="00916A1D"/>
    <w:rsid w:val="009175AC"/>
    <w:rsid w:val="00920B54"/>
    <w:rsid w:val="0092205B"/>
    <w:rsid w:val="00923A63"/>
    <w:rsid w:val="00934C41"/>
    <w:rsid w:val="00944C34"/>
    <w:rsid w:val="00946141"/>
    <w:rsid w:val="00946EE9"/>
    <w:rsid w:val="00950E74"/>
    <w:rsid w:val="00951FB9"/>
    <w:rsid w:val="00954265"/>
    <w:rsid w:val="0095666C"/>
    <w:rsid w:val="0095685D"/>
    <w:rsid w:val="00962364"/>
    <w:rsid w:val="0096280B"/>
    <w:rsid w:val="00962A11"/>
    <w:rsid w:val="00966F99"/>
    <w:rsid w:val="00967DBB"/>
    <w:rsid w:val="00972264"/>
    <w:rsid w:val="00975E6C"/>
    <w:rsid w:val="0097692F"/>
    <w:rsid w:val="009820FF"/>
    <w:rsid w:val="00984BC8"/>
    <w:rsid w:val="0099009F"/>
    <w:rsid w:val="00990740"/>
    <w:rsid w:val="009940AB"/>
    <w:rsid w:val="009950A0"/>
    <w:rsid w:val="009956EA"/>
    <w:rsid w:val="009A3281"/>
    <w:rsid w:val="009A3B60"/>
    <w:rsid w:val="009A3D5F"/>
    <w:rsid w:val="009A581E"/>
    <w:rsid w:val="009A5919"/>
    <w:rsid w:val="009B0812"/>
    <w:rsid w:val="009B0A48"/>
    <w:rsid w:val="009B58EC"/>
    <w:rsid w:val="009B7820"/>
    <w:rsid w:val="009C0C2D"/>
    <w:rsid w:val="009C0F52"/>
    <w:rsid w:val="009C2453"/>
    <w:rsid w:val="009C3938"/>
    <w:rsid w:val="009C4288"/>
    <w:rsid w:val="009C4E8A"/>
    <w:rsid w:val="009C696B"/>
    <w:rsid w:val="009C6E32"/>
    <w:rsid w:val="009D0F3C"/>
    <w:rsid w:val="009D131E"/>
    <w:rsid w:val="009D29EA"/>
    <w:rsid w:val="009D3883"/>
    <w:rsid w:val="009D3A8B"/>
    <w:rsid w:val="009D4A28"/>
    <w:rsid w:val="009D4CBB"/>
    <w:rsid w:val="009D4FF6"/>
    <w:rsid w:val="009D7CD1"/>
    <w:rsid w:val="009D7D0C"/>
    <w:rsid w:val="009E01BB"/>
    <w:rsid w:val="009E0FA3"/>
    <w:rsid w:val="009E1D0A"/>
    <w:rsid w:val="009E20B7"/>
    <w:rsid w:val="009E32A9"/>
    <w:rsid w:val="009E3423"/>
    <w:rsid w:val="009E4485"/>
    <w:rsid w:val="009E4A2B"/>
    <w:rsid w:val="009E4E3F"/>
    <w:rsid w:val="009E53F6"/>
    <w:rsid w:val="009E57AA"/>
    <w:rsid w:val="009F055B"/>
    <w:rsid w:val="009F2F0C"/>
    <w:rsid w:val="009F6C05"/>
    <w:rsid w:val="009F78ED"/>
    <w:rsid w:val="009F7950"/>
    <w:rsid w:val="00A010A4"/>
    <w:rsid w:val="00A02534"/>
    <w:rsid w:val="00A03F57"/>
    <w:rsid w:val="00A05689"/>
    <w:rsid w:val="00A06550"/>
    <w:rsid w:val="00A06928"/>
    <w:rsid w:val="00A06C3F"/>
    <w:rsid w:val="00A1025E"/>
    <w:rsid w:val="00A13CB4"/>
    <w:rsid w:val="00A16C8F"/>
    <w:rsid w:val="00A23C25"/>
    <w:rsid w:val="00A25235"/>
    <w:rsid w:val="00A272BB"/>
    <w:rsid w:val="00A27C37"/>
    <w:rsid w:val="00A31AAB"/>
    <w:rsid w:val="00A35176"/>
    <w:rsid w:val="00A36C4D"/>
    <w:rsid w:val="00A3702E"/>
    <w:rsid w:val="00A37552"/>
    <w:rsid w:val="00A4473C"/>
    <w:rsid w:val="00A461F4"/>
    <w:rsid w:val="00A47C3F"/>
    <w:rsid w:val="00A53523"/>
    <w:rsid w:val="00A53FD4"/>
    <w:rsid w:val="00A54DB7"/>
    <w:rsid w:val="00A576C8"/>
    <w:rsid w:val="00A668B3"/>
    <w:rsid w:val="00A66C16"/>
    <w:rsid w:val="00A67F05"/>
    <w:rsid w:val="00A73A00"/>
    <w:rsid w:val="00A73BB1"/>
    <w:rsid w:val="00A749E0"/>
    <w:rsid w:val="00A80923"/>
    <w:rsid w:val="00A80F95"/>
    <w:rsid w:val="00A818AF"/>
    <w:rsid w:val="00A81BCB"/>
    <w:rsid w:val="00A823A6"/>
    <w:rsid w:val="00A84504"/>
    <w:rsid w:val="00A84869"/>
    <w:rsid w:val="00A90CA0"/>
    <w:rsid w:val="00A93287"/>
    <w:rsid w:val="00A93AF1"/>
    <w:rsid w:val="00A93B89"/>
    <w:rsid w:val="00A96379"/>
    <w:rsid w:val="00AA552E"/>
    <w:rsid w:val="00AA7695"/>
    <w:rsid w:val="00AB11F8"/>
    <w:rsid w:val="00AB12DE"/>
    <w:rsid w:val="00AB2082"/>
    <w:rsid w:val="00AB30BA"/>
    <w:rsid w:val="00AB5579"/>
    <w:rsid w:val="00AB7239"/>
    <w:rsid w:val="00AB7A58"/>
    <w:rsid w:val="00AC00E5"/>
    <w:rsid w:val="00AC424E"/>
    <w:rsid w:val="00AC5709"/>
    <w:rsid w:val="00AC5998"/>
    <w:rsid w:val="00AC5C24"/>
    <w:rsid w:val="00AC7143"/>
    <w:rsid w:val="00AD0DE0"/>
    <w:rsid w:val="00AD3028"/>
    <w:rsid w:val="00AD4580"/>
    <w:rsid w:val="00AD4600"/>
    <w:rsid w:val="00AD7F36"/>
    <w:rsid w:val="00AE3AAA"/>
    <w:rsid w:val="00AE3AFF"/>
    <w:rsid w:val="00AE5069"/>
    <w:rsid w:val="00AE54BE"/>
    <w:rsid w:val="00AE7109"/>
    <w:rsid w:val="00AE7BB5"/>
    <w:rsid w:val="00AF1FEC"/>
    <w:rsid w:val="00AF2573"/>
    <w:rsid w:val="00AF2E12"/>
    <w:rsid w:val="00AF3E3B"/>
    <w:rsid w:val="00B0142C"/>
    <w:rsid w:val="00B0164D"/>
    <w:rsid w:val="00B041E5"/>
    <w:rsid w:val="00B076AE"/>
    <w:rsid w:val="00B147EF"/>
    <w:rsid w:val="00B26833"/>
    <w:rsid w:val="00B26A13"/>
    <w:rsid w:val="00B26AA0"/>
    <w:rsid w:val="00B26E8C"/>
    <w:rsid w:val="00B27902"/>
    <w:rsid w:val="00B309E5"/>
    <w:rsid w:val="00B323B8"/>
    <w:rsid w:val="00B33218"/>
    <w:rsid w:val="00B3609A"/>
    <w:rsid w:val="00B4130E"/>
    <w:rsid w:val="00B43AC3"/>
    <w:rsid w:val="00B46051"/>
    <w:rsid w:val="00B51885"/>
    <w:rsid w:val="00B51E1F"/>
    <w:rsid w:val="00B52906"/>
    <w:rsid w:val="00B52D19"/>
    <w:rsid w:val="00B52F98"/>
    <w:rsid w:val="00B540B8"/>
    <w:rsid w:val="00B55EE2"/>
    <w:rsid w:val="00B5693C"/>
    <w:rsid w:val="00B56FA1"/>
    <w:rsid w:val="00B61059"/>
    <w:rsid w:val="00B623AB"/>
    <w:rsid w:val="00B63822"/>
    <w:rsid w:val="00B65345"/>
    <w:rsid w:val="00B669F6"/>
    <w:rsid w:val="00B66E06"/>
    <w:rsid w:val="00B73002"/>
    <w:rsid w:val="00B7490E"/>
    <w:rsid w:val="00B7575B"/>
    <w:rsid w:val="00B75D29"/>
    <w:rsid w:val="00B761EE"/>
    <w:rsid w:val="00B80B35"/>
    <w:rsid w:val="00B833A4"/>
    <w:rsid w:val="00B833C9"/>
    <w:rsid w:val="00B83831"/>
    <w:rsid w:val="00B85C97"/>
    <w:rsid w:val="00B8620D"/>
    <w:rsid w:val="00B878D4"/>
    <w:rsid w:val="00B90D10"/>
    <w:rsid w:val="00B90E30"/>
    <w:rsid w:val="00B91925"/>
    <w:rsid w:val="00B94E71"/>
    <w:rsid w:val="00B95B0C"/>
    <w:rsid w:val="00B96BF0"/>
    <w:rsid w:val="00BA1B65"/>
    <w:rsid w:val="00BA51A3"/>
    <w:rsid w:val="00BA5A7B"/>
    <w:rsid w:val="00BA76C4"/>
    <w:rsid w:val="00BA797C"/>
    <w:rsid w:val="00BA7DF6"/>
    <w:rsid w:val="00BB28D2"/>
    <w:rsid w:val="00BB359B"/>
    <w:rsid w:val="00BB71FB"/>
    <w:rsid w:val="00BC273D"/>
    <w:rsid w:val="00BC31FF"/>
    <w:rsid w:val="00BC4DE0"/>
    <w:rsid w:val="00BC4E2A"/>
    <w:rsid w:val="00BC5CF3"/>
    <w:rsid w:val="00BC6D9B"/>
    <w:rsid w:val="00BC75F5"/>
    <w:rsid w:val="00BD1EF9"/>
    <w:rsid w:val="00BD248B"/>
    <w:rsid w:val="00BD34F8"/>
    <w:rsid w:val="00BD4A6E"/>
    <w:rsid w:val="00BD5BAC"/>
    <w:rsid w:val="00BE07C9"/>
    <w:rsid w:val="00BE0E8B"/>
    <w:rsid w:val="00BE1DAE"/>
    <w:rsid w:val="00BE2955"/>
    <w:rsid w:val="00BE6A47"/>
    <w:rsid w:val="00BE6ED3"/>
    <w:rsid w:val="00BF0B3C"/>
    <w:rsid w:val="00BF2629"/>
    <w:rsid w:val="00BF27A0"/>
    <w:rsid w:val="00BF3F47"/>
    <w:rsid w:val="00BF4E34"/>
    <w:rsid w:val="00BF77DF"/>
    <w:rsid w:val="00BF7AC8"/>
    <w:rsid w:val="00BF7AFF"/>
    <w:rsid w:val="00C007B8"/>
    <w:rsid w:val="00C00872"/>
    <w:rsid w:val="00C016AC"/>
    <w:rsid w:val="00C01A02"/>
    <w:rsid w:val="00C0346D"/>
    <w:rsid w:val="00C03B72"/>
    <w:rsid w:val="00C04707"/>
    <w:rsid w:val="00C06560"/>
    <w:rsid w:val="00C074DC"/>
    <w:rsid w:val="00C07FC7"/>
    <w:rsid w:val="00C1046F"/>
    <w:rsid w:val="00C129D1"/>
    <w:rsid w:val="00C13223"/>
    <w:rsid w:val="00C137CC"/>
    <w:rsid w:val="00C14944"/>
    <w:rsid w:val="00C15E29"/>
    <w:rsid w:val="00C16193"/>
    <w:rsid w:val="00C17DF6"/>
    <w:rsid w:val="00C20339"/>
    <w:rsid w:val="00C20ECB"/>
    <w:rsid w:val="00C2276C"/>
    <w:rsid w:val="00C22A6F"/>
    <w:rsid w:val="00C2422A"/>
    <w:rsid w:val="00C2529A"/>
    <w:rsid w:val="00C26B82"/>
    <w:rsid w:val="00C27919"/>
    <w:rsid w:val="00C33687"/>
    <w:rsid w:val="00C33D5D"/>
    <w:rsid w:val="00C33FB8"/>
    <w:rsid w:val="00C36326"/>
    <w:rsid w:val="00C36FEE"/>
    <w:rsid w:val="00C378C4"/>
    <w:rsid w:val="00C40E26"/>
    <w:rsid w:val="00C440B7"/>
    <w:rsid w:val="00C44118"/>
    <w:rsid w:val="00C508B4"/>
    <w:rsid w:val="00C51A96"/>
    <w:rsid w:val="00C51D00"/>
    <w:rsid w:val="00C51FE4"/>
    <w:rsid w:val="00C5386E"/>
    <w:rsid w:val="00C54AD0"/>
    <w:rsid w:val="00C54D61"/>
    <w:rsid w:val="00C65FD7"/>
    <w:rsid w:val="00C72A26"/>
    <w:rsid w:val="00C74EC3"/>
    <w:rsid w:val="00C76262"/>
    <w:rsid w:val="00C7787A"/>
    <w:rsid w:val="00C800D1"/>
    <w:rsid w:val="00C854B0"/>
    <w:rsid w:val="00C87450"/>
    <w:rsid w:val="00C92093"/>
    <w:rsid w:val="00C928B9"/>
    <w:rsid w:val="00C97037"/>
    <w:rsid w:val="00CA0C4C"/>
    <w:rsid w:val="00CA284A"/>
    <w:rsid w:val="00CA3818"/>
    <w:rsid w:val="00CA3DF8"/>
    <w:rsid w:val="00CA512B"/>
    <w:rsid w:val="00CB0973"/>
    <w:rsid w:val="00CB0B5F"/>
    <w:rsid w:val="00CB162F"/>
    <w:rsid w:val="00CB75CE"/>
    <w:rsid w:val="00CC0168"/>
    <w:rsid w:val="00CC073E"/>
    <w:rsid w:val="00CC3D38"/>
    <w:rsid w:val="00CC4FBE"/>
    <w:rsid w:val="00CC6582"/>
    <w:rsid w:val="00CC79D7"/>
    <w:rsid w:val="00CD02D6"/>
    <w:rsid w:val="00CD5ADF"/>
    <w:rsid w:val="00CE0DC8"/>
    <w:rsid w:val="00CE3BD2"/>
    <w:rsid w:val="00CF0245"/>
    <w:rsid w:val="00CF1DAB"/>
    <w:rsid w:val="00CF21F2"/>
    <w:rsid w:val="00CF2CB3"/>
    <w:rsid w:val="00CF4AD9"/>
    <w:rsid w:val="00D001CD"/>
    <w:rsid w:val="00D00B46"/>
    <w:rsid w:val="00D00E41"/>
    <w:rsid w:val="00D023A4"/>
    <w:rsid w:val="00D02895"/>
    <w:rsid w:val="00D03227"/>
    <w:rsid w:val="00D03390"/>
    <w:rsid w:val="00D06AF0"/>
    <w:rsid w:val="00D07819"/>
    <w:rsid w:val="00D10058"/>
    <w:rsid w:val="00D14512"/>
    <w:rsid w:val="00D155DE"/>
    <w:rsid w:val="00D16570"/>
    <w:rsid w:val="00D233AB"/>
    <w:rsid w:val="00D25179"/>
    <w:rsid w:val="00D2635F"/>
    <w:rsid w:val="00D27486"/>
    <w:rsid w:val="00D30FAF"/>
    <w:rsid w:val="00D317B7"/>
    <w:rsid w:val="00D31D96"/>
    <w:rsid w:val="00D31FDF"/>
    <w:rsid w:val="00D37FDD"/>
    <w:rsid w:val="00D40A65"/>
    <w:rsid w:val="00D40F17"/>
    <w:rsid w:val="00D41696"/>
    <w:rsid w:val="00D4529A"/>
    <w:rsid w:val="00D4751B"/>
    <w:rsid w:val="00D47775"/>
    <w:rsid w:val="00D477C0"/>
    <w:rsid w:val="00D53A86"/>
    <w:rsid w:val="00D552BF"/>
    <w:rsid w:val="00D55CE1"/>
    <w:rsid w:val="00D56B73"/>
    <w:rsid w:val="00D6444C"/>
    <w:rsid w:val="00D64B52"/>
    <w:rsid w:val="00D64C0F"/>
    <w:rsid w:val="00D6564B"/>
    <w:rsid w:val="00D66000"/>
    <w:rsid w:val="00D66408"/>
    <w:rsid w:val="00D66DEC"/>
    <w:rsid w:val="00D67BC2"/>
    <w:rsid w:val="00D70A09"/>
    <w:rsid w:val="00D70D56"/>
    <w:rsid w:val="00D7157D"/>
    <w:rsid w:val="00D76BA7"/>
    <w:rsid w:val="00D81095"/>
    <w:rsid w:val="00D828A9"/>
    <w:rsid w:val="00D833FE"/>
    <w:rsid w:val="00D8410C"/>
    <w:rsid w:val="00D86A76"/>
    <w:rsid w:val="00D8772C"/>
    <w:rsid w:val="00D92A85"/>
    <w:rsid w:val="00D95E77"/>
    <w:rsid w:val="00D9652F"/>
    <w:rsid w:val="00D97732"/>
    <w:rsid w:val="00D97E23"/>
    <w:rsid w:val="00DA2F71"/>
    <w:rsid w:val="00DB1B4F"/>
    <w:rsid w:val="00DB2F25"/>
    <w:rsid w:val="00DB37DF"/>
    <w:rsid w:val="00DC026A"/>
    <w:rsid w:val="00DC57F6"/>
    <w:rsid w:val="00DC7B39"/>
    <w:rsid w:val="00DE01AE"/>
    <w:rsid w:val="00DE0AB7"/>
    <w:rsid w:val="00DE5D89"/>
    <w:rsid w:val="00DE70CB"/>
    <w:rsid w:val="00DF0664"/>
    <w:rsid w:val="00DF1E34"/>
    <w:rsid w:val="00DF6497"/>
    <w:rsid w:val="00E02595"/>
    <w:rsid w:val="00E0406F"/>
    <w:rsid w:val="00E0717F"/>
    <w:rsid w:val="00E101BD"/>
    <w:rsid w:val="00E10777"/>
    <w:rsid w:val="00E12DEC"/>
    <w:rsid w:val="00E16116"/>
    <w:rsid w:val="00E20F02"/>
    <w:rsid w:val="00E219C8"/>
    <w:rsid w:val="00E2225F"/>
    <w:rsid w:val="00E228C6"/>
    <w:rsid w:val="00E22C78"/>
    <w:rsid w:val="00E24709"/>
    <w:rsid w:val="00E26EA7"/>
    <w:rsid w:val="00E314AA"/>
    <w:rsid w:val="00E33291"/>
    <w:rsid w:val="00E33602"/>
    <w:rsid w:val="00E33FED"/>
    <w:rsid w:val="00E3656E"/>
    <w:rsid w:val="00E374F4"/>
    <w:rsid w:val="00E37584"/>
    <w:rsid w:val="00E42F2F"/>
    <w:rsid w:val="00E43FB5"/>
    <w:rsid w:val="00E445AC"/>
    <w:rsid w:val="00E44842"/>
    <w:rsid w:val="00E501D1"/>
    <w:rsid w:val="00E541AB"/>
    <w:rsid w:val="00E5541A"/>
    <w:rsid w:val="00E55C54"/>
    <w:rsid w:val="00E570A8"/>
    <w:rsid w:val="00E63A4C"/>
    <w:rsid w:val="00E657F2"/>
    <w:rsid w:val="00E66DBE"/>
    <w:rsid w:val="00E66EAE"/>
    <w:rsid w:val="00E70539"/>
    <w:rsid w:val="00E71FC0"/>
    <w:rsid w:val="00E72F41"/>
    <w:rsid w:val="00E73E9A"/>
    <w:rsid w:val="00E774F8"/>
    <w:rsid w:val="00E811BC"/>
    <w:rsid w:val="00E82725"/>
    <w:rsid w:val="00E83118"/>
    <w:rsid w:val="00E84B9F"/>
    <w:rsid w:val="00E85E0C"/>
    <w:rsid w:val="00E86556"/>
    <w:rsid w:val="00E866F2"/>
    <w:rsid w:val="00E87299"/>
    <w:rsid w:val="00E87969"/>
    <w:rsid w:val="00E91011"/>
    <w:rsid w:val="00E91DA4"/>
    <w:rsid w:val="00E9291D"/>
    <w:rsid w:val="00E948DC"/>
    <w:rsid w:val="00E95473"/>
    <w:rsid w:val="00E968CC"/>
    <w:rsid w:val="00EA0906"/>
    <w:rsid w:val="00EA2E5F"/>
    <w:rsid w:val="00EA42A4"/>
    <w:rsid w:val="00EA7D63"/>
    <w:rsid w:val="00EB06C5"/>
    <w:rsid w:val="00EB265B"/>
    <w:rsid w:val="00EB4036"/>
    <w:rsid w:val="00EC128F"/>
    <w:rsid w:val="00EC1A00"/>
    <w:rsid w:val="00EC42E5"/>
    <w:rsid w:val="00EC53C4"/>
    <w:rsid w:val="00EC55D7"/>
    <w:rsid w:val="00EC6BAA"/>
    <w:rsid w:val="00ED08F9"/>
    <w:rsid w:val="00ED12F1"/>
    <w:rsid w:val="00ED60A0"/>
    <w:rsid w:val="00ED66EF"/>
    <w:rsid w:val="00ED707F"/>
    <w:rsid w:val="00ED7154"/>
    <w:rsid w:val="00EE03C3"/>
    <w:rsid w:val="00EE07FB"/>
    <w:rsid w:val="00EE1BF7"/>
    <w:rsid w:val="00EE1D38"/>
    <w:rsid w:val="00EE3CDB"/>
    <w:rsid w:val="00EE48BC"/>
    <w:rsid w:val="00EE5AAD"/>
    <w:rsid w:val="00EE66A2"/>
    <w:rsid w:val="00EF371D"/>
    <w:rsid w:val="00EF3C5A"/>
    <w:rsid w:val="00EF43F4"/>
    <w:rsid w:val="00EF620C"/>
    <w:rsid w:val="00EF742B"/>
    <w:rsid w:val="00EF7E06"/>
    <w:rsid w:val="00F00BF1"/>
    <w:rsid w:val="00F010A6"/>
    <w:rsid w:val="00F0273F"/>
    <w:rsid w:val="00F039FF"/>
    <w:rsid w:val="00F04045"/>
    <w:rsid w:val="00F05872"/>
    <w:rsid w:val="00F05A24"/>
    <w:rsid w:val="00F05FB4"/>
    <w:rsid w:val="00F068D9"/>
    <w:rsid w:val="00F06ED7"/>
    <w:rsid w:val="00F07614"/>
    <w:rsid w:val="00F111C5"/>
    <w:rsid w:val="00F1164C"/>
    <w:rsid w:val="00F118A7"/>
    <w:rsid w:val="00F138D2"/>
    <w:rsid w:val="00F151F8"/>
    <w:rsid w:val="00F15EED"/>
    <w:rsid w:val="00F15F49"/>
    <w:rsid w:val="00F17C63"/>
    <w:rsid w:val="00F17F5E"/>
    <w:rsid w:val="00F17FE5"/>
    <w:rsid w:val="00F227AD"/>
    <w:rsid w:val="00F22803"/>
    <w:rsid w:val="00F234F8"/>
    <w:rsid w:val="00F23A96"/>
    <w:rsid w:val="00F25F53"/>
    <w:rsid w:val="00F267E2"/>
    <w:rsid w:val="00F3098C"/>
    <w:rsid w:val="00F33C70"/>
    <w:rsid w:val="00F37CCE"/>
    <w:rsid w:val="00F40E18"/>
    <w:rsid w:val="00F41AD1"/>
    <w:rsid w:val="00F4222B"/>
    <w:rsid w:val="00F43FDF"/>
    <w:rsid w:val="00F466AF"/>
    <w:rsid w:val="00F52169"/>
    <w:rsid w:val="00F54220"/>
    <w:rsid w:val="00F543A5"/>
    <w:rsid w:val="00F5725B"/>
    <w:rsid w:val="00F6143D"/>
    <w:rsid w:val="00F64683"/>
    <w:rsid w:val="00F658FF"/>
    <w:rsid w:val="00F66CAC"/>
    <w:rsid w:val="00F72585"/>
    <w:rsid w:val="00F7486A"/>
    <w:rsid w:val="00F76E06"/>
    <w:rsid w:val="00F77689"/>
    <w:rsid w:val="00F805FE"/>
    <w:rsid w:val="00F80F2C"/>
    <w:rsid w:val="00F82143"/>
    <w:rsid w:val="00F84554"/>
    <w:rsid w:val="00F86087"/>
    <w:rsid w:val="00F860B6"/>
    <w:rsid w:val="00F92B9A"/>
    <w:rsid w:val="00F932AD"/>
    <w:rsid w:val="00F947C5"/>
    <w:rsid w:val="00F950A4"/>
    <w:rsid w:val="00F97D9D"/>
    <w:rsid w:val="00FA3448"/>
    <w:rsid w:val="00FA59BB"/>
    <w:rsid w:val="00FA5C5F"/>
    <w:rsid w:val="00FB06A3"/>
    <w:rsid w:val="00FB467F"/>
    <w:rsid w:val="00FC176E"/>
    <w:rsid w:val="00FC58AA"/>
    <w:rsid w:val="00FC6F99"/>
    <w:rsid w:val="00FC75FC"/>
    <w:rsid w:val="00FD2029"/>
    <w:rsid w:val="00FD283B"/>
    <w:rsid w:val="00FD2FD4"/>
    <w:rsid w:val="00FD3899"/>
    <w:rsid w:val="00FD479B"/>
    <w:rsid w:val="00FD51DA"/>
    <w:rsid w:val="00FD77D7"/>
    <w:rsid w:val="00FE3E17"/>
    <w:rsid w:val="00FE42FF"/>
    <w:rsid w:val="00FE45EA"/>
    <w:rsid w:val="00FE5710"/>
    <w:rsid w:val="00FE699A"/>
    <w:rsid w:val="00FF0D55"/>
    <w:rsid w:val="00FF1163"/>
    <w:rsid w:val="00FF2923"/>
    <w:rsid w:val="00FF39D3"/>
    <w:rsid w:val="00FF56DC"/>
    <w:rsid w:val="00FF7E77"/>
    <w:rsid w:val="00FF7FC8"/>
    <w:rsid w:val="04312567"/>
    <w:rsid w:val="2B670F8A"/>
    <w:rsid w:val="5E5A3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5F9F58A"/>
  <w15:docId w15:val="{DA86191B-1D2A-4B91-BD47-E4ABF5EE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en-IN"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footer"/>
    <w:basedOn w:val="a"/>
    <w:link w:val="a8"/>
    <w:uiPriority w:val="99"/>
    <w:unhideWhenUsed/>
    <w:qFormat/>
    <w:pPr>
      <w:tabs>
        <w:tab w:val="center" w:pos="4513"/>
        <w:tab w:val="right" w:pos="9026"/>
      </w:tabs>
      <w:spacing w:after="0" w:line="240" w:lineRule="auto"/>
    </w:pPr>
  </w:style>
  <w:style w:type="paragraph" w:styleId="a9">
    <w:name w:val="header"/>
    <w:basedOn w:val="a"/>
    <w:link w:val="aa"/>
    <w:uiPriority w:val="99"/>
    <w:unhideWhenUsed/>
    <w:qFormat/>
    <w:pPr>
      <w:tabs>
        <w:tab w:val="center" w:pos="4513"/>
        <w:tab w:val="right" w:pos="9026"/>
      </w:tabs>
      <w:spacing w:after="0" w:line="240" w:lineRule="auto"/>
    </w:pPr>
  </w:style>
  <w:style w:type="paragraph" w:styleId="ab">
    <w:name w:val="Subtitle"/>
    <w:basedOn w:val="a"/>
    <w:next w:val="a"/>
    <w:link w:val="ac"/>
    <w:uiPriority w:val="11"/>
    <w:qFormat/>
    <w:rPr>
      <w:rFonts w:eastAsiaTheme="majorEastAsia" w:cstheme="majorBidi"/>
      <w:color w:val="595959" w:themeColor="text1" w:themeTint="A6"/>
      <w:spacing w:val="15"/>
      <w:sz w:val="28"/>
      <w:szCs w:val="28"/>
    </w:rPr>
  </w:style>
  <w:style w:type="paragraph" w:styleId="ad">
    <w:name w:val="Normal (Web)"/>
    <w:basedOn w:val="a"/>
    <w:uiPriority w:val="99"/>
    <w:unhideWhenUsed/>
    <w:qFormat/>
    <w:rPr>
      <w:rFonts w:ascii="Times New Roman" w:hAnsi="Times New Roman" w:cs="Times New Roman"/>
      <w:sz w:val="24"/>
      <w:szCs w:val="24"/>
    </w:rPr>
  </w:style>
  <w:style w:type="paragraph" w:styleId="ae">
    <w:name w:val="Title"/>
    <w:basedOn w:val="a"/>
    <w:next w:val="a"/>
    <w:link w:val="af"/>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qFormat/>
    <w:rPr>
      <w:color w:val="954F72" w:themeColor="followedHyperlink"/>
      <w:u w:val="single"/>
    </w:rPr>
  </w:style>
  <w:style w:type="character" w:styleId="af4">
    <w:name w:val="line number"/>
    <w:basedOn w:val="a0"/>
    <w:uiPriority w:val="99"/>
    <w:semiHidden/>
    <w:unhideWhenUsed/>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unhideWhenUsed/>
    <w:qFormat/>
    <w:rPr>
      <w:sz w:val="16"/>
      <w:szCs w:val="1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rPr>
      <w:rFonts w:eastAsiaTheme="majorEastAsia" w:cstheme="majorBidi"/>
      <w:color w:val="2F5496" w:themeColor="accent1" w:themeShade="BF"/>
      <w:sz w:val="28"/>
      <w:szCs w:val="28"/>
    </w:rPr>
  </w:style>
  <w:style w:type="character" w:customStyle="1" w:styleId="40">
    <w:name w:val="标题 4 字符"/>
    <w:basedOn w:val="a0"/>
    <w:link w:val="4"/>
    <w:uiPriority w:val="9"/>
    <w:semiHidden/>
    <w:rPr>
      <w:rFonts w:eastAsiaTheme="majorEastAsia" w:cstheme="majorBidi"/>
      <w:i/>
      <w:iCs/>
      <w:color w:val="2F5496" w:themeColor="accent1" w:themeShade="BF"/>
    </w:rPr>
  </w:style>
  <w:style w:type="character" w:customStyle="1" w:styleId="50">
    <w:name w:val="标题 5 字符"/>
    <w:basedOn w:val="a0"/>
    <w:link w:val="5"/>
    <w:uiPriority w:val="9"/>
    <w:semiHidden/>
    <w:rPr>
      <w:rFonts w:eastAsiaTheme="majorEastAsia" w:cstheme="majorBidi"/>
      <w:color w:val="2F5496" w:themeColor="accent1" w:themeShade="BF"/>
    </w:rPr>
  </w:style>
  <w:style w:type="character" w:customStyle="1" w:styleId="60">
    <w:name w:val="标题 6 字符"/>
    <w:basedOn w:val="a0"/>
    <w:link w:val="6"/>
    <w:uiPriority w:val="9"/>
    <w:semiHidden/>
    <w:rPr>
      <w:rFonts w:eastAsiaTheme="majorEastAsia" w:cstheme="majorBidi"/>
      <w:i/>
      <w:iCs/>
      <w:color w:val="595959" w:themeColor="text1" w:themeTint="A6"/>
    </w:rPr>
  </w:style>
  <w:style w:type="character" w:customStyle="1" w:styleId="70">
    <w:name w:val="标题 7 字符"/>
    <w:basedOn w:val="a0"/>
    <w:link w:val="7"/>
    <w:uiPriority w:val="9"/>
    <w:semiHidden/>
    <w:rPr>
      <w:rFonts w:eastAsiaTheme="majorEastAsia" w:cstheme="majorBidi"/>
      <w:color w:val="595959" w:themeColor="text1" w:themeTint="A6"/>
    </w:rPr>
  </w:style>
  <w:style w:type="character" w:customStyle="1" w:styleId="80">
    <w:name w:val="标题 8 字符"/>
    <w:basedOn w:val="a0"/>
    <w:link w:val="8"/>
    <w:uiPriority w:val="9"/>
    <w:semiHidden/>
    <w:rPr>
      <w:rFonts w:eastAsiaTheme="majorEastAsia" w:cstheme="majorBidi"/>
      <w:i/>
      <w:iCs/>
      <w:color w:val="262626" w:themeColor="text1" w:themeTint="D9"/>
    </w:rPr>
  </w:style>
  <w:style w:type="character" w:customStyle="1" w:styleId="90">
    <w:name w:val="标题 9 字符"/>
    <w:basedOn w:val="a0"/>
    <w:link w:val="9"/>
    <w:uiPriority w:val="9"/>
    <w:semiHidden/>
    <w:rPr>
      <w:rFonts w:eastAsiaTheme="majorEastAsia" w:cstheme="majorBidi"/>
      <w:color w:val="262626" w:themeColor="text1" w:themeTint="D9"/>
    </w:rPr>
  </w:style>
  <w:style w:type="character" w:customStyle="1" w:styleId="af">
    <w:name w:val="标题 字符"/>
    <w:basedOn w:val="a0"/>
    <w:link w:val="ae"/>
    <w:uiPriority w:val="10"/>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rPr>
      <w:rFonts w:eastAsiaTheme="majorEastAsia" w:cstheme="majorBidi"/>
      <w:color w:val="595959" w:themeColor="text1" w:themeTint="A6"/>
      <w:spacing w:val="15"/>
      <w:sz w:val="28"/>
      <w:szCs w:val="28"/>
    </w:rPr>
  </w:style>
  <w:style w:type="paragraph" w:styleId="af7">
    <w:name w:val="Quote"/>
    <w:basedOn w:val="a"/>
    <w:next w:val="a"/>
    <w:link w:val="af8"/>
    <w:uiPriority w:val="29"/>
    <w:qFormat/>
    <w:pPr>
      <w:spacing w:before="160"/>
      <w:jc w:val="center"/>
    </w:pPr>
    <w:rPr>
      <w:i/>
      <w:iCs/>
      <w:color w:val="404040" w:themeColor="text1" w:themeTint="BF"/>
    </w:rPr>
  </w:style>
  <w:style w:type="character" w:customStyle="1" w:styleId="af8">
    <w:name w:val="引用 字符"/>
    <w:basedOn w:val="a0"/>
    <w:link w:val="af7"/>
    <w:uiPriority w:val="29"/>
    <w:rPr>
      <w:i/>
      <w:iCs/>
      <w:color w:val="404040" w:themeColor="text1" w:themeTint="BF"/>
    </w:rPr>
  </w:style>
  <w:style w:type="paragraph" w:styleId="af9">
    <w:name w:val="List Paragraph"/>
    <w:basedOn w:val="a"/>
    <w:uiPriority w:val="34"/>
    <w:qFormat/>
    <w:pPr>
      <w:ind w:left="720"/>
      <w:contextualSpacing/>
    </w:pPr>
  </w:style>
  <w:style w:type="character" w:customStyle="1" w:styleId="IntenseEmphasis1">
    <w:name w:val="Intense Emphasis1"/>
    <w:basedOn w:val="a0"/>
    <w:uiPriority w:val="21"/>
    <w:qFormat/>
    <w:rPr>
      <w:i/>
      <w:iCs/>
      <w:color w:val="2F5496" w:themeColor="accent1" w:themeShade="BF"/>
    </w:rPr>
  </w:style>
  <w:style w:type="paragraph" w:styleId="afa">
    <w:name w:val="Intense Quote"/>
    <w:basedOn w:val="a"/>
    <w:next w:val="a"/>
    <w:link w:val="afb"/>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明显引用 字符"/>
    <w:basedOn w:val="a0"/>
    <w:link w:val="afa"/>
    <w:uiPriority w:val="30"/>
    <w:qFormat/>
    <w:rPr>
      <w:i/>
      <w:iCs/>
      <w:color w:val="2F5496" w:themeColor="accent1" w:themeShade="BF"/>
    </w:rPr>
  </w:style>
  <w:style w:type="character" w:customStyle="1" w:styleId="IntenseReference1">
    <w:name w:val="Intense Reference1"/>
    <w:basedOn w:val="a0"/>
    <w:uiPriority w:val="32"/>
    <w:qFormat/>
    <w:rPr>
      <w:b/>
      <w:bCs/>
      <w:smallCaps/>
      <w:color w:val="2F5496" w:themeColor="accent1" w:themeShade="BF"/>
      <w:spacing w:val="5"/>
    </w:r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4">
    <w:name w:val="批注文字 字符"/>
    <w:basedOn w:val="a0"/>
    <w:link w:val="a3"/>
    <w:uiPriority w:val="99"/>
    <w:qFormat/>
    <w:rPr>
      <w:kern w:val="0"/>
      <w:sz w:val="20"/>
      <w:szCs w:val="20"/>
      <w:lang w:val="en-IN"/>
      <w14:ligatures w14:val="none"/>
    </w:rPr>
  </w:style>
  <w:style w:type="character" w:customStyle="1" w:styleId="af1">
    <w:name w:val="批注主题 字符"/>
    <w:basedOn w:val="a4"/>
    <w:link w:val="af0"/>
    <w:uiPriority w:val="99"/>
    <w:semiHidden/>
    <w:qFormat/>
    <w:rPr>
      <w:b/>
      <w:bCs/>
      <w:kern w:val="0"/>
      <w:sz w:val="20"/>
      <w:szCs w:val="20"/>
      <w:lang w:val="en-IN"/>
      <w14:ligatures w14:val="none"/>
    </w:r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 w:type="paragraph" w:customStyle="1" w:styleId="EndNoteBibliography">
    <w:name w:val="EndNote Bibliography"/>
    <w:basedOn w:val="a"/>
    <w:link w:val="EndNoteBibliographyChar"/>
    <w:qFormat/>
    <w:pPr>
      <w:spacing w:after="0" w:line="240" w:lineRule="auto"/>
      <w:jc w:val="both"/>
    </w:pPr>
    <w:rPr>
      <w:rFonts w:ascii="Calibri" w:eastAsia="宋体" w:hAnsi="Calibri" w:cs="Calibri"/>
      <w:sz w:val="20"/>
      <w:szCs w:val="20"/>
      <w:lang w:val="en-US" w:eastAsia="zh-CN"/>
    </w:rPr>
  </w:style>
  <w:style w:type="character" w:customStyle="1" w:styleId="EndNoteBibliographyChar">
    <w:name w:val="EndNote Bibliography Char"/>
    <w:basedOn w:val="a0"/>
    <w:link w:val="EndNoteBibliography"/>
    <w:qFormat/>
    <w:rPr>
      <w:rFonts w:ascii="Calibri" w:eastAsia="宋体" w:hAnsi="Calibri" w:cs="Calibri"/>
      <w:kern w:val="0"/>
      <w:sz w:val="20"/>
      <w:szCs w:val="20"/>
      <w:lang w:eastAsia="zh-CN"/>
      <w14:ligatures w14:val="none"/>
    </w:rPr>
  </w:style>
  <w:style w:type="character" w:customStyle="1" w:styleId="aa">
    <w:name w:val="页眉 字符"/>
    <w:basedOn w:val="a0"/>
    <w:link w:val="a9"/>
    <w:uiPriority w:val="99"/>
    <w:qFormat/>
    <w:rPr>
      <w:kern w:val="0"/>
      <w:sz w:val="22"/>
      <w:szCs w:val="22"/>
      <w:lang w:val="en-IN"/>
      <w14:ligatures w14:val="none"/>
    </w:rPr>
  </w:style>
  <w:style w:type="character" w:customStyle="1" w:styleId="a8">
    <w:name w:val="页脚 字符"/>
    <w:basedOn w:val="a0"/>
    <w:link w:val="a7"/>
    <w:uiPriority w:val="99"/>
    <w:qFormat/>
    <w:rPr>
      <w:kern w:val="0"/>
      <w:sz w:val="22"/>
      <w:szCs w:val="22"/>
      <w:lang w:val="en-IN"/>
      <w14:ligatures w14:val="none"/>
    </w:rPr>
  </w:style>
  <w:style w:type="character" w:styleId="afc">
    <w:name w:val="Placeholder Text"/>
    <w:basedOn w:val="a0"/>
    <w:uiPriority w:val="99"/>
    <w:unhideWhenUsed/>
    <w:rPr>
      <w:color w:val="666666"/>
    </w:rPr>
  </w:style>
  <w:style w:type="character" w:customStyle="1" w:styleId="11">
    <w:name w:val="未处理的提及1"/>
    <w:basedOn w:val="a0"/>
    <w:uiPriority w:val="99"/>
    <w:semiHidden/>
    <w:unhideWhenUsed/>
    <w:rPr>
      <w:color w:val="605E5C"/>
      <w:shd w:val="clear" w:color="auto" w:fill="E1DFDD"/>
    </w:rPr>
  </w:style>
  <w:style w:type="character" w:customStyle="1" w:styleId="a6">
    <w:name w:val="批注框文本 字符"/>
    <w:basedOn w:val="a0"/>
    <w:link w:val="a5"/>
    <w:uiPriority w:val="99"/>
    <w:semiHidden/>
    <w:rPr>
      <w:rFonts w:ascii="Segoe UI" w:eastAsiaTheme="minorHAnsi" w:hAnsi="Segoe UI" w:cs="Segoe UI"/>
      <w:sz w:val="18"/>
      <w:szCs w:val="18"/>
      <w:lang w:val="en-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10" Type="http://schemas.openxmlformats.org/officeDocument/2006/relationships/image" Target="media/image3.svg"/><Relationship Id="rId19" Type="http://schemas.openxmlformats.org/officeDocument/2006/relationships/image" Target="media/image12.sv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15</Pages>
  <Words>5269</Words>
  <Characters>32040</Characters>
  <Application>Microsoft Office Word</Application>
  <DocSecurity>0</DocSecurity>
  <Lines>1001</Lines>
  <Paragraphs>678</Paragraphs>
  <ScaleCrop>false</ScaleCrop>
  <Company/>
  <LinksUpToDate>false</LinksUpToDate>
  <CharactersWithSpaces>36631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22</cp:revision>
  <cp:lastPrinted>2026-06-09T01:20:00Z</cp:lastPrinted>
  <dcterms:created xsi:type="dcterms:W3CDTF">2026-06-05T09:08:00Z</dcterms:created>
  <dcterms:modified xsi:type="dcterms:W3CDTF">2026-07-17T02:18:00Z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78dd4764-86cd-4607-978c-e7614929fca2</vt:lpwstr>
  </property>
  <property fmtid="{D5CDD505-2E9C-101B-9397-08002B2CF9AE}" pid="3" name="KSOTemplateDocerSaveRecord">
    <vt:lpwstr>eyJoZGlkIjoiMGRhYjRiZjNjNjM2NTlhYjQ4MTA1YjBmZDBhYzM5MTgiLCJ1c2VySWQiOiI1NTQzOTE5NDYifQ==</vt:lpwstr>
  </property>
  <property fmtid="{D5CDD505-2E9C-101B-9397-08002B2CF9AE}" pid="4" name="KSOProductBuildVer">
    <vt:lpwstr>2052-12.1.0.26895</vt:lpwstr>
  </property>
  <property fmtid="{D5CDD505-2E9C-101B-9397-08002B2CF9AE}" pid="5" name="ICV">
    <vt:lpwstr>B6B23CF4343D44B087911EA76BFBBA7C_13</vt:lpwstr>
  </property>
</Properties>
</file>